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7"/>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p>
    <w:p>
      <w:pPr>
        <w:ind w:firstLine="1606"/>
        <w:jc w:val="center"/>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cs="Times New Roman"/>
          <w:b/>
          <w:bCs/>
          <w:color w:val="000000"/>
          <w:sz w:val="32"/>
          <w:szCs w:val="24"/>
          <w:lang w:eastAsia="zh-CN"/>
        </w:rPr>
        <w:t xml:space="preserve">紫金山实验室智能网联汽车C-V2X协议解析软件及应用系统软件开发服务</w:t>
      </w:r>
      <w:r/>
    </w:p>
    <w:p>
      <w:pPr>
        <w:ind w:firstLine="1606"/>
        <w:jc w:val="left"/>
        <w:spacing w:before="120" w:after="120" w:line="360" w:lineRule="auto"/>
        <w:rPr>
          <w:rFonts w:hint="default" w:eastAsia="宋体"/>
          <w:color w:val="000000"/>
          <w:lang w:val="en-US" w:eastAsia="zh-CN"/>
        </w:rPr>
      </w:pPr>
      <w:r>
        <w:rPr>
          <w:rFonts w:hint="eastAsia" w:ascii="Arial" w:hAnsi="Arial" w:eastAsia="宋体" w:cs="Times New Roman"/>
          <w:b/>
          <w:bCs/>
          <w:color w:val="000000"/>
          <w:sz w:val="32"/>
          <w:szCs w:val="24"/>
          <w:lang w:eastAsia="zh-CN"/>
        </w:rPr>
        <w:t xml:space="preserve">项目编号：</w:t>
      </w:r>
      <w:r>
        <w:rPr>
          <w:rFonts w:hint="eastAsia" w:ascii="Arial" w:hAnsi="Arial" w:eastAsia="宋体" w:cs="Times New Roman"/>
          <w:b/>
          <w:bCs/>
          <w:i w:val="0"/>
          <w:iCs w:val="0"/>
          <w:caps w:val="0"/>
          <w:color w:val="000000"/>
          <w:spacing w:val="0"/>
          <w:sz w:val="32"/>
          <w:szCs w:val="24"/>
          <w:u w:val="none"/>
        </w:rPr>
        <w:t xml:space="preserve">JSZC-320100-JZCG-T2026-00</w:t>
      </w:r>
      <w:r>
        <w:rPr>
          <w:rFonts w:hint="eastAsia" w:ascii="Arial" w:hAnsi="Arial" w:cs="Times New Roman"/>
          <w:b/>
          <w:bCs/>
          <w:i w:val="0"/>
          <w:iCs w:val="0"/>
          <w:caps w:val="0"/>
          <w:color w:val="000000"/>
          <w:spacing w:val="0"/>
          <w:sz w:val="32"/>
          <w:szCs w:val="24"/>
          <w:u w:val="none"/>
          <w:lang w:val="en-US" w:eastAsia="zh-CN"/>
        </w:rPr>
        <w:t xml:space="preserve">77</w:t>
      </w:r>
      <w:r/>
    </w:p>
    <w:p>
      <w:pPr>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 （</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7"/>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4</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val="en-US" w:eastAsia="zh-CN"/>
        </w:rPr>
        <w:t xml:space="preserve">21</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22</w:t>
      </w:r>
      <w:r/>
    </w:p>
    <w:p>
      <w:pPr>
        <w:keepLines w:val="0"/>
        <w:keepNext w:val="0"/>
        <w:pageBreakBefore w:val="0"/>
        <w:spacing w:line="480" w:lineRule="auto"/>
        <w:widowControl w:val="off"/>
        <w:rPr>
          <w:rFonts w:hint="eastAsia" w:ascii="Times New Roman" w:hAnsi="Times New Roman"/>
          <w:color w:val="000000"/>
          <w:szCs w:val="21"/>
        </w:rPr>
      </w:pPr>
      <w:r>
        <w:rPr>
          <w:rFonts w:hint="eastAsia" w:ascii="Times New Roman" w:hAnsi="Times New Roman"/>
          <w:color w:val="000000"/>
          <w:szCs w:val="21"/>
        </w:rPr>
      </w:r>
      <w:r/>
    </w:p>
    <w:p>
      <w:pPr>
        <w:ind w:firstLine="0"/>
        <w:pageBreakBefore w:val="0"/>
        <w:spacing w:line="240" w:lineRule="auto"/>
        <w:widowControl w:val="off"/>
        <w:rPr>
          <w:rFonts w:hint="eastAsia" w:ascii="宋体" w:hAnsi="宋体"/>
          <w:color w:val="000000"/>
          <w:sz w:val="24"/>
          <w:szCs w:val="24"/>
        </w:rPr>
      </w:pPr>
      <w:r/>
      <w:bookmarkStart w:id="0" w:name="_Toc38985264"/>
      <w:r/>
      <w:bookmarkStart w:id="1" w:name="_Toc28359002"/>
      <w:r/>
      <w:bookmarkStart w:id="2" w:name="_Toc28359080"/>
      <w:r/>
      <w:bookmarkStart w:id="3" w:name="_Toc35393791"/>
      <w:r/>
      <w:bookmarkStart w:id="4" w:name="_Toc28359003"/>
      <w:r/>
      <w:bookmarkStart w:id="5" w:name="_Toc35393621"/>
      <w:r/>
      <w:bookmarkStart w:id="6" w:name="_Toc35393790"/>
      <w:r/>
      <w:bookmarkStart w:id="7" w:name="_Toc28359079"/>
      <w:r/>
      <w:bookmarkStart w:id="8" w:name="_Toc38985263"/>
      <w:r/>
      <w:bookmarkStart w:id="9" w:name="_Toc35393622"/>
      <w:r/>
      <w:bookmarkStart w:id="10" w:name="_Hlk24379207"/>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谈判邀请</w:t>
      </w:r>
      <w:r/>
    </w:p>
    <w:p>
      <w:pPr>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eastAsia="宋体" w:cs="Times New Roman"/>
          <w:b w:val="0"/>
          <w:bCs w:val="0"/>
          <w:color w:val="000000"/>
          <w:sz w:val="24"/>
          <w:szCs w:val="24"/>
          <w:lang w:eastAsia="zh-CN"/>
        </w:rPr>
        <w:t xml:space="preserve">紫金山实验室</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s="Times New Roman"/>
          <w:b w:val="0"/>
          <w:bCs w:val="0"/>
          <w:color w:val="000000"/>
          <w:sz w:val="24"/>
          <w:szCs w:val="24"/>
          <w:lang w:eastAsia="zh-CN"/>
        </w:rPr>
        <w:t xml:space="preserve">紫金山实验室智能网联汽车C-V2X协议解析软件及应用系统软件开发服务</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竞争性谈判采购，欢迎符合条件的供应商参加谈判。</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40" w:lineRule="auto"/>
        <w:widowControl w:val="off"/>
        <w:rPr>
          <w:rFonts w:hint="default" w:ascii="宋体" w:hAnsi="宋体" w:eastAsia="宋体" w:cs="Times New Roman"/>
          <w:color w:val="000000"/>
          <w:sz w:val="24"/>
          <w:szCs w:val="24"/>
          <w:lang w:val="en-US" w:eastAsia="zh-CN"/>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-JZCG-T2026-00</w:t>
      </w:r>
      <w:r>
        <w:rPr>
          <w:rFonts w:hint="eastAsia" w:ascii="宋体" w:hAnsi="宋体" w:cs="Times New Roman"/>
          <w:color w:val="000000"/>
          <w:sz w:val="24"/>
          <w:szCs w:val="24"/>
          <w:lang w:val="en-US" w:eastAsia="zh-CN"/>
        </w:rPr>
        <w:t xml:space="preserve">77</w:t>
      </w:r>
      <w:r/>
    </w:p>
    <w:p>
      <w:pPr>
        <w:ind w:firstLine="480"/>
        <w:pageBreakBefore w:val="0"/>
        <w:spacing w:line="240" w:lineRule="auto"/>
        <w:widowControl w:val="off"/>
        <w:rPr>
          <w:rFonts w:hint="eastAsia" w:ascii="宋体" w:hAnsi="宋体" w:cs="Times New Roman"/>
          <w:b w:val="0"/>
          <w:bCs w:val="0"/>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b w:val="0"/>
          <w:bCs w:val="0"/>
          <w:color w:val="000000"/>
          <w:sz w:val="24"/>
          <w:szCs w:val="24"/>
          <w:lang w:eastAsia="zh-CN"/>
        </w:rPr>
        <w:t xml:space="preserve">紫金山实验室智能网联汽车C-V2X协议解析软件及应用系统软件开发服务</w:t>
      </w:r>
      <w:r/>
    </w:p>
    <w:p>
      <w:pPr>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rPr>
          <w:rFonts w:hint="eastAsia" w:ascii="宋体" w:hAnsi="宋体"/>
          <w:color w:val="000000"/>
          <w:sz w:val="24"/>
          <w:szCs w:val="24"/>
        </w:rPr>
        <w:t xml:space="preserve">3.预算金额</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18</w:t>
      </w:r>
      <w:r>
        <w:rPr>
          <w:rFonts w:hint="eastAsia" w:ascii="宋体" w:hAnsi="宋体" w:eastAsia="宋体" w:cs="Times New Roman"/>
          <w:b w:val="0"/>
          <w:bCs w:val="0"/>
          <w:color w:val="000000"/>
          <w:sz w:val="24"/>
          <w:szCs w:val="24"/>
          <w:lang w:eastAsia="zh-CN"/>
        </w:rPr>
        <w:t xml:space="preserve">万元</w:t>
      </w:r>
      <w:r/>
    </w:p>
    <w:p>
      <w:pPr>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t xml:space="preserve">4.</w:t>
      </w:r>
      <w:r>
        <w:rPr>
          <w:rFonts w:hint="eastAsia" w:ascii="宋体" w:hAnsi="宋体" w:eastAsia="宋体" w:cs="Times New Roman"/>
          <w:b w:val="0"/>
          <w:bCs w:val="0"/>
          <w:color w:val="000000"/>
          <w:sz w:val="24"/>
          <w:szCs w:val="24"/>
          <w:lang w:val="en-US" w:eastAsia="zh-CN"/>
        </w:rPr>
        <w:t xml:space="preserve">最高限价：</w:t>
      </w:r>
      <w:r>
        <w:rPr>
          <w:rFonts w:hint="eastAsia" w:ascii="宋体" w:hAnsi="宋体" w:cs="Times New Roman"/>
          <w:b w:val="0"/>
          <w:bCs w:val="0"/>
          <w:color w:val="000000"/>
          <w:sz w:val="24"/>
          <w:szCs w:val="24"/>
          <w:lang w:val="en-US" w:eastAsia="zh-CN"/>
        </w:rPr>
        <w:t xml:space="preserve">18万元</w:t>
      </w:r>
      <w:r/>
    </w:p>
    <w:p>
      <w:pPr>
        <w:ind w:firstLine="480"/>
        <w:pageBreakBefore w:val="0"/>
        <w:spacing w:line="240" w:lineRule="auto"/>
        <w:widowControl w:val="off"/>
        <w:rPr>
          <w:rFonts w:ascii="宋体" w:hAnsi="宋体"/>
          <w:color w:val="000000"/>
          <w:sz w:val="24"/>
          <w:szCs w:val="24"/>
          <w:u w:val="single"/>
        </w:rPr>
      </w:pPr>
      <w:r>
        <w:rPr>
          <w:rFonts w:hint="eastAsia" w:ascii="宋体" w:hAnsi="宋体" w:eastAsia="宋体" w:cs="Times New Roman"/>
          <w:b w:val="0"/>
          <w:bCs w:val="0"/>
          <w:color w:val="000000"/>
          <w:sz w:val="24"/>
          <w:szCs w:val="24"/>
          <w:lang w:eastAsia="zh-CN"/>
        </w:rPr>
        <w:t xml:space="preserve">5.采购需求（简介）：</w:t>
      </w:r>
      <w:r>
        <w:rPr>
          <w:rFonts w:hint="eastAsia" w:ascii="宋体" w:hAnsi="宋体" w:eastAsia="宋体" w:cs="Times New Roman"/>
          <w:b w:val="0"/>
          <w:bCs w:val="0"/>
          <w:color w:val="000000"/>
          <w:sz w:val="24"/>
          <w:szCs w:val="24"/>
          <w:lang w:val="en-US" w:eastAsia="zh-CN"/>
        </w:rPr>
        <w:t xml:space="preserve">本项目旨在采购一套智能网联汽车C-V2X协议解析软件及应用系统，实现核心车路协同场景的协议支持与功能演示，为后续研究提供软件基础。（详细内容见本谈判文件第四章） </w:t>
      </w:r>
      <w:r>
        <w:rPr>
          <w:rFonts w:hint="eastAsia" w:ascii="宋体" w:hAnsi="宋体" w:cs="宋体"/>
          <w:color w:val="000000"/>
          <w:sz w:val="24"/>
          <w:szCs w:val="24"/>
        </w:rPr>
        <w:t xml:space="preserve"> </w:t>
      </w:r>
      <w:r/>
    </w:p>
    <w:p>
      <w:p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60天</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p>
    <w:p>
      <w:pPr>
        <w:ind w:firstLine="480"/>
        <w:pageBreakBefore w:val="0"/>
        <w:spacing w:line="240" w:lineRule="auto"/>
        <w:widowControl w:val="off"/>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软件和信息技术服务业</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bookmarkEnd w:id="0"/>
      <w:r/>
      <w:bookmarkEnd w:id="1"/>
      <w:r/>
      <w:bookmarkEnd w:id="2"/>
      <w:r/>
      <w:bookmarkEnd w:id="3"/>
      <w:r/>
      <w:bookmarkEnd w:id="4"/>
      <w:r/>
      <w:bookmarkEnd w:id="5"/>
      <w:r/>
      <w:bookmarkEnd w:id="6"/>
      <w:r/>
      <w:bookmarkEnd w:id="7"/>
      <w:r/>
      <w:bookmarkEnd w:id="8"/>
      <w:r/>
      <w:bookmarkEnd w:id="9"/>
      <w:r/>
      <w:bookmarkEnd w:id="10"/>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1" w:name="_Toc35393792"/>
      <w:r/>
      <w:bookmarkStart w:id="12" w:name="_Toc38985265"/>
      <w:r/>
      <w:bookmarkStart w:id="13" w:name="_Toc28359081"/>
      <w:r/>
      <w:bookmarkStart w:id="14" w:name="_Toc35393623"/>
      <w:r/>
      <w:bookmarkStart w:id="15" w:name="_Toc28359004"/>
      <w:r>
        <w:rPr>
          <w:rFonts w:hint="eastAsia" w:ascii="方正黑体_GBK" w:hAnsi="方正黑体_GBK" w:eastAsia="方正黑体_GBK" w:cs="方正黑体_GBK"/>
          <w:b w:val="0"/>
          <w:bCs w:val="0"/>
          <w:color w:val="000000"/>
          <w:sz w:val="30"/>
          <w:szCs w:val="30"/>
        </w:rPr>
        <w:t xml:space="preserve">三、获取</w:t>
      </w:r>
      <w:bookmarkEnd w:id="11"/>
      <w:r/>
      <w:bookmarkEnd w:id="12"/>
      <w:r/>
      <w:bookmarkEnd w:id="13"/>
      <w:r/>
      <w:bookmarkEnd w:id="14"/>
      <w:r/>
      <w:bookmarkEnd w:id="15"/>
      <w:r>
        <w:rPr>
          <w:rFonts w:hint="eastAsia" w:ascii="方正黑体_GBK" w:hAnsi="方正黑体_GBK" w:eastAsia="方正黑体_GBK" w:cs="方正黑体_GBK"/>
          <w:b w:val="0"/>
          <w:bCs w:val="0"/>
          <w:color w:val="000000"/>
          <w:sz w:val="30"/>
          <w:szCs w:val="30"/>
        </w:rPr>
        <w:t xml:space="preserve">谈判文件</w:t>
      </w:r>
      <w:r/>
    </w:p>
    <w:p>
      <w:pPr>
        <w:ind w:firstLine="480"/>
        <w:pageBreakBefore w:val="0"/>
        <w:spacing w:line="240" w:lineRule="auto"/>
        <w:widowControl w:val="off"/>
        <w:rPr>
          <w:rFonts w:hint="eastAsia" w:ascii="宋体" w:hAnsi="宋体" w:eastAsia="宋体" w:cs="Times New Roman"/>
          <w:color w:val="000000"/>
          <w:sz w:val="24"/>
          <w:szCs w:val="24"/>
        </w:rPr>
      </w:pPr>
      <w:r/>
      <w:bookmarkStart w:id="16" w:name="_Toc28359082"/>
      <w:r/>
      <w:bookmarkStart w:id="17" w:name="_Toc28359005"/>
      <w:r/>
      <w:bookmarkStart w:id="18" w:name="_Toc38985266"/>
      <w:r/>
      <w:bookmarkStart w:id="19" w:name="_Toc35393793"/>
      <w:r/>
      <w:bookmarkStart w:id="20" w:name="_Toc35393624"/>
      <w:r>
        <w:rPr>
          <w:rFonts w:hint="eastAsia" w:ascii="宋体" w:hAnsi="宋体" w:eastAsia="宋体" w:cs="Times New Roman"/>
          <w:color w:val="000000"/>
          <w:sz w:val="24"/>
          <w:szCs w:val="24"/>
        </w:rPr>
        <w:t xml:space="preserve">1.时间：自谈判文件公告发布之日起。</w:t>
      </w:r>
      <w:r/>
    </w:p>
    <w:p>
      <w:pPr>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2.方式：在“江苏政府采购网”免费下载。</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16"/>
      <w:r/>
      <w:bookmarkEnd w:id="17"/>
      <w:r>
        <w:rPr>
          <w:rFonts w:hint="eastAsia" w:ascii="方正黑体_GBK" w:hAnsi="方正黑体_GBK" w:eastAsia="方正黑体_GBK" w:cs="方正黑体_GBK"/>
          <w:b w:val="0"/>
          <w:bCs w:val="0"/>
          <w:color w:val="000000"/>
          <w:sz w:val="30"/>
          <w:szCs w:val="30"/>
        </w:rPr>
        <w:t xml:space="preserve">响应文件截止时间</w:t>
      </w:r>
      <w:bookmarkEnd w:id="18"/>
      <w:r/>
      <w:bookmarkEnd w:id="19"/>
      <w:r/>
      <w:bookmarkEnd w:id="20"/>
      <w:r/>
      <w:r/>
    </w:p>
    <w:p>
      <w:pPr>
        <w:ind w:firstLine="480"/>
        <w:spacing w:line="240" w:lineRule="auto"/>
        <w:rPr>
          <w:rFonts w:hint="eastAsia" w:ascii="宋体" w:hAnsi="宋体" w:eastAsia="宋体" w:cs="Times New Roman"/>
          <w:b w:val="0"/>
          <w:bCs w:val="0"/>
          <w:color w:val="000000"/>
          <w:sz w:val="24"/>
          <w:szCs w:val="24"/>
          <w:lang w:eastAsia="zh-CN"/>
        </w:rPr>
        <w:outlineLvl w:val="9"/>
      </w:pPr>
      <w:r/>
      <w:bookmarkStart w:id="21" w:name="_Toc35393794"/>
      <w:r/>
      <w:bookmarkStart w:id="22" w:name="_Toc28359084"/>
      <w:r/>
      <w:bookmarkStart w:id="23" w:name="_Toc35393625"/>
      <w:r/>
      <w:bookmarkStart w:id="24" w:name="_Toc38985267"/>
      <w:r/>
      <w:bookmarkStart w:id="25" w:name="_Toc28359007"/>
      <w:r>
        <w:rPr>
          <w:rFonts w:hint="eastAsia" w:ascii="宋体" w:hAnsi="宋体" w:eastAsia="宋体" w:cs="Times New Roman"/>
          <w:b w:val="0"/>
          <w:bCs w:val="0"/>
          <w:color w:val="000000"/>
          <w:sz w:val="24"/>
          <w:szCs w:val="24"/>
          <w:u w:val="none"/>
          <w:lang w:val="en-US" w:eastAsia="zh-CN"/>
        </w:rPr>
        <w:t xml:space="preserve">20</w:t>
      </w:r>
      <w:r>
        <w:rPr>
          <w:rFonts w:hint="eastAsia" w:ascii="宋体" w:hAnsi="宋体" w:eastAsia="宋体" w:cs="Times New Roman"/>
          <w:b w:val="0"/>
          <w:bCs w:val="0"/>
          <w:color w:val="000000"/>
          <w:sz w:val="24"/>
          <w:szCs w:val="24"/>
          <w:highlight w:val="none"/>
          <w:u w:val="none"/>
          <w:lang w:val="en-US" w:eastAsia="zh-CN"/>
        </w:rPr>
        <w:t xml:space="preserve">26</w:t>
      </w:r>
      <w:r>
        <w:rPr>
          <w:rFonts w:hint="eastAsia" w:ascii="宋体" w:hAnsi="宋体" w:eastAsia="宋体" w:cs="Times New Roman"/>
          <w:b w:val="0"/>
          <w:bCs w:val="0"/>
          <w:color w:val="000000"/>
          <w:sz w:val="24"/>
          <w:szCs w:val="24"/>
          <w:u w:val="none"/>
        </w:rPr>
        <w:t xml:space="preserve">年</w:t>
      </w:r>
      <w:r>
        <w:rPr>
          <w:rFonts w:hint="eastAsia" w:ascii="宋体" w:hAnsi="宋体" w:cs="Times New Roman"/>
          <w:b w:val="0"/>
          <w:bCs w:val="0"/>
          <w:color w:val="000000"/>
          <w:sz w:val="24"/>
          <w:szCs w:val="24"/>
          <w:u w:val="none"/>
          <w:lang w:val="en-US" w:eastAsia="zh-CN"/>
        </w:rPr>
        <w:t xml:space="preserve">4</w:t>
      </w:r>
      <w:r>
        <w:rPr>
          <w:rFonts w:hint="eastAsia" w:ascii="宋体" w:hAnsi="宋体" w:eastAsia="宋体" w:cs="Times New Roman"/>
          <w:b w:val="0"/>
          <w:bCs w:val="0"/>
          <w:color w:val="000000"/>
          <w:sz w:val="24"/>
          <w:szCs w:val="24"/>
          <w:u w:val="none"/>
        </w:rPr>
        <w:t xml:space="preserve">月</w:t>
      </w:r>
      <w:r>
        <w:rPr>
          <w:rFonts w:hint="eastAsia" w:ascii="宋体" w:hAnsi="宋体" w:cs="Times New Roman"/>
          <w:b w:val="0"/>
          <w:bCs w:val="0"/>
          <w:color w:val="000000"/>
          <w:sz w:val="24"/>
          <w:szCs w:val="24"/>
          <w:highlight w:val="none"/>
          <w:u w:val="none"/>
          <w:lang w:val="en-US" w:eastAsia="zh-CN"/>
        </w:rPr>
        <w:t xml:space="preserve">14</w:t>
      </w:r>
      <w:r>
        <w:rPr>
          <w:rFonts w:hint="eastAsia" w:ascii="宋体" w:hAnsi="宋体" w:eastAsia="宋体" w:cs="Times New Roman"/>
          <w:b w:val="0"/>
          <w:bCs w:val="0"/>
          <w:color w:val="000000"/>
          <w:sz w:val="24"/>
          <w:szCs w:val="24"/>
          <w:u w:val="none"/>
        </w:rPr>
        <w:t xml:space="preserve">日</w:t>
      </w:r>
      <w:r>
        <w:rPr>
          <w:rFonts w:hint="eastAsia" w:ascii="宋体" w:hAnsi="宋体" w:cs="Times New Roman"/>
          <w:b w:val="0"/>
          <w:bCs w:val="0"/>
          <w:color w:val="000000"/>
          <w:sz w:val="24"/>
          <w:szCs w:val="24"/>
          <w:highlight w:val="none"/>
          <w:u w:val="none"/>
          <w:lang w:val="en-US" w:eastAsia="zh-CN"/>
        </w:rPr>
        <w:t xml:space="preserve">9</w:t>
      </w:r>
      <w:r>
        <w:rPr>
          <w:rFonts w:hint="eastAsia" w:ascii="宋体" w:hAnsi="宋体" w:eastAsia="宋体" w:cs="Times New Roman"/>
          <w:b w:val="0"/>
          <w:bCs w:val="0"/>
          <w:color w:val="000000"/>
          <w:sz w:val="24"/>
          <w:szCs w:val="24"/>
          <w:u w:val="none"/>
          <w:lang w:val="en-US" w:eastAsia="zh-CN"/>
        </w:rPr>
        <w:t xml:space="preserve">时</w:t>
      </w:r>
      <w:r>
        <w:rPr>
          <w:rFonts w:hint="eastAsia" w:ascii="宋体" w:hAnsi="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en-US" w:eastAsia="zh-CN"/>
        </w:rPr>
        <w:t xml:space="preserve">0</w:t>
      </w:r>
      <w:r>
        <w:rPr>
          <w:rFonts w:hint="eastAsia" w:ascii="宋体" w:hAnsi="宋体" w:eastAsia="宋体" w:cs="Times New Roman"/>
          <w:b w:val="0"/>
          <w:bCs w:val="0"/>
          <w:color w:val="000000"/>
          <w:sz w:val="24"/>
          <w:szCs w:val="24"/>
          <w:u w:val="none"/>
        </w:rPr>
        <w:t xml:space="preserve">分（</w:t>
      </w:r>
      <w:r>
        <w:rPr>
          <w:rFonts w:hint="eastAsia" w:ascii="宋体" w:hAnsi="宋体" w:eastAsia="宋体" w:cs="Times New Roman"/>
          <w:b w:val="0"/>
          <w:bCs w:val="0"/>
          <w:color w:val="000000"/>
          <w:sz w:val="24"/>
          <w:szCs w:val="24"/>
        </w:rPr>
        <w:t xml:space="preserve">北京时间）</w:t>
      </w:r>
      <w:r>
        <w:rPr>
          <w:rFonts w:hint="eastAsia" w:ascii="宋体" w:hAnsi="宋体" w:eastAsia="宋体" w:cs="Times New Roman"/>
          <w:b w:val="0"/>
          <w:bCs w:val="0"/>
          <w:color w:val="000000"/>
          <w:sz w:val="24"/>
          <w:szCs w:val="24"/>
          <w:lang w:eastAsia="zh-CN"/>
        </w:rPr>
        <w:t xml:space="preserve">。</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1"/>
      <w:r/>
      <w:bookmarkEnd w:id="22"/>
      <w:r/>
      <w:bookmarkEnd w:id="23"/>
      <w:r/>
      <w:bookmarkEnd w:id="24"/>
      <w:r/>
      <w:bookmarkEnd w:id="25"/>
      <w:r/>
      <w:r/>
    </w:p>
    <w:p>
      <w:pPr>
        <w:ind w:firstLine="480"/>
        <w:pageBreakBefore w:val="0"/>
        <w:spacing w:line="240" w:lineRule="auto"/>
        <w:widowControl w:val="off"/>
        <w:rPr>
          <w:rFonts w:hint="eastAsia" w:ascii="宋体" w:hAnsi="宋体" w:eastAsia="宋体" w:cs="Times New Roman"/>
          <w:color w:val="000000"/>
          <w:sz w:val="24"/>
          <w:szCs w:val="24"/>
        </w:rPr>
      </w:pPr>
      <w:r/>
      <w:bookmarkStart w:id="26" w:name="_Toc38985268"/>
      <w:r/>
      <w:bookmarkStart w:id="27" w:name="_Toc35393795"/>
      <w:r/>
      <w:bookmarkStart w:id="28" w:name="_Toc35393626"/>
      <w:r>
        <w:rPr>
          <w:rFonts w:hint="eastAsia" w:ascii="宋体" w:hAnsi="宋体" w:eastAsia="宋体" w:cs="Times New Roman"/>
          <w:color w:val="000000"/>
          <w:sz w:val="24"/>
          <w:szCs w:val="24"/>
        </w:rPr>
        <w:t xml:space="preserve">公告期限为自本公告发布之日起3个工作日。</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26"/>
      <w:r/>
      <w:bookmarkEnd w:id="27"/>
      <w:r/>
      <w:bookmarkEnd w:id="28"/>
      <w:r/>
      <w:r/>
    </w:p>
    <w:p>
      <w:pPr>
        <w:ind w:firstLine="480"/>
        <w:pageBreakBefore w:val="0"/>
        <w:spacing w:line="240" w:lineRule="auto"/>
        <w:widowControl w:val="off"/>
        <w:tabs>
          <w:tab w:val="left" w:pos="900" w:leader="none"/>
        </w:tabs>
        <w:rPr>
          <w:rFonts w:hint="eastAsia" w:ascii="宋体" w:hAnsi="宋体" w:eastAsia="宋体" w:cs="Times New Roman"/>
          <w:bCs/>
          <w:color w:val="000000"/>
          <w:sz w:val="24"/>
          <w:szCs w:val="24"/>
        </w:rPr>
      </w:pPr>
      <w:r/>
      <w:bookmarkStart w:id="29" w:name="_Toc28359085"/>
      <w:r/>
      <w:bookmarkStart w:id="30" w:name="_Toc35393627"/>
      <w:r/>
      <w:bookmarkStart w:id="31" w:name="_Toc35393796"/>
      <w:r/>
      <w:bookmarkStart w:id="32" w:name="_Toc38985269"/>
      <w:r/>
      <w:bookmarkStart w:id="33" w:name="_Toc28359008"/>
      <w:r>
        <w:rPr>
          <w:rFonts w:hint="eastAsia" w:ascii="宋体" w:hAnsi="宋体" w:eastAsia="宋体" w:cs="宋体"/>
          <w:color w:val="000000"/>
          <w:sz w:val="24"/>
          <w:szCs w:val="24"/>
        </w:rPr>
        <w:t xml:space="preserve">1.</w:t>
      </w:r>
      <w:r>
        <w:rPr>
          <w:rFonts w:hint="eastAsia" w:ascii="宋体" w:hAnsi="宋体" w:eastAsia="宋体" w:cs="Times New Roman"/>
          <w:bCs/>
          <w:color w:val="000000"/>
          <w:sz w:val="24"/>
          <w:szCs w:val="24"/>
        </w:rPr>
        <w:t xml:space="preserve">本次</w:t>
      </w:r>
      <w:r>
        <w:rPr>
          <w:rFonts w:hint="eastAsia" w:ascii="宋体" w:hAnsi="宋体" w:eastAsia="宋体" w:cs="Times New Roman"/>
          <w:bCs/>
          <w:color w:val="000000"/>
          <w:sz w:val="24"/>
          <w:szCs w:val="24"/>
          <w:lang w:eastAsia="zh-CN"/>
        </w:rPr>
        <w:t xml:space="preserve">谈判</w:t>
      </w:r>
      <w:r>
        <w:rPr>
          <w:rFonts w:hint="eastAsia" w:ascii="宋体" w:hAnsi="宋体" w:eastAsia="宋体" w:cs="Times New Roman"/>
          <w:bCs/>
          <w:color w:val="000000"/>
          <w:sz w:val="24"/>
          <w:szCs w:val="24"/>
        </w:rPr>
        <w:t xml:space="preserve">不收取</w:t>
      </w:r>
      <w:r>
        <w:rPr>
          <w:rFonts w:hint="eastAsia" w:ascii="宋体" w:hAnsi="宋体" w:eastAsia="宋体" w:cs="Times New Roman"/>
          <w:bCs/>
          <w:color w:val="000000"/>
          <w:sz w:val="24"/>
          <w:szCs w:val="24"/>
          <w:lang w:eastAsia="zh-CN"/>
        </w:rPr>
        <w:t xml:space="preserve">谈判</w:t>
      </w:r>
      <w:r>
        <w:rPr>
          <w:rFonts w:hint="eastAsia" w:ascii="宋体" w:hAnsi="宋体" w:eastAsia="宋体" w:cs="Times New Roman"/>
          <w:bCs/>
          <w:color w:val="000000"/>
          <w:sz w:val="24"/>
          <w:szCs w:val="24"/>
        </w:rPr>
        <w:t xml:space="preserve">保证金。</w:t>
      </w:r>
      <w:r/>
    </w:p>
    <w:p>
      <w:pPr>
        <w:ind w:firstLine="480"/>
        <w:pageBreakBefore w:val="0"/>
        <w:spacing w:line="240" w:lineRule="auto"/>
        <w:widowControl w:val="off"/>
        <w:tabs>
          <w:tab w:val="left" w:pos="900"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 xml:space="preserve">2.</w:t>
      </w:r>
      <w:r>
        <w:rPr>
          <w:rFonts w:hint="eastAsia" w:ascii="宋体" w:hAnsi="宋体" w:eastAsia="宋体" w:cs="Times New Roman"/>
          <w:bCs/>
          <w:color w:val="000000"/>
          <w:sz w:val="24"/>
          <w:szCs w:val="24"/>
          <w:lang w:val="en-US" w:eastAsia="zh-CN"/>
        </w:rPr>
        <w:t xml:space="preserve">本项目不组织</w:t>
      </w:r>
      <w:r>
        <w:rPr>
          <w:rFonts w:hint="eastAsia" w:ascii="宋体" w:hAnsi="宋体" w:eastAsia="宋体" w:cs="Times New Roman"/>
          <w:bCs/>
          <w:color w:val="000000"/>
          <w:sz w:val="24"/>
          <w:szCs w:val="24"/>
          <w:lang w:eastAsia="zh-CN"/>
        </w:rPr>
        <w:t xml:space="preserve">勘察及答疑</w:t>
      </w:r>
      <w:r>
        <w:rPr>
          <w:rFonts w:hint="eastAsia" w:ascii="宋体" w:hAnsi="宋体" w:eastAsia="宋体" w:cs="Times New Roman"/>
          <w:bCs/>
          <w:color w:val="000000"/>
          <w:sz w:val="24"/>
          <w:szCs w:val="24"/>
          <w:lang w:val="en-US" w:eastAsia="zh-CN"/>
        </w:rPr>
        <w:t xml:space="preserve">，供应商如对采购需求有疑问，请咨询采购单位联系人。</w:t>
      </w:r>
      <w:r/>
    </w:p>
    <w:p>
      <w:pPr>
        <w:ind w:firstLine="480"/>
        <w:pageBreakBefore w:val="0"/>
        <w:spacing w:line="240" w:lineRule="auto"/>
        <w:widowControl w:val="off"/>
        <w:tabs>
          <w:tab w:val="left" w:pos="900" w:leader="none"/>
        </w:tabs>
        <w:rPr>
          <w:color w:val="000000"/>
        </w:rPr>
      </w:pPr>
      <w:r>
        <w:rPr>
          <w:rFonts w:hint="eastAsia" w:ascii="宋体" w:hAnsi="宋体" w:eastAsia="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.供应商通过苏采云系统参与政府采购项目（</w:t>
      </w:r>
      <w:r>
        <w:rPr>
          <w:rFonts w:hint="eastAsia" w:ascii="宋体" w:hAnsi="宋体" w:eastAsia="宋体" w:cs="Times New Roman"/>
          <w:bCs/>
          <w:color w:val="000000"/>
          <w:sz w:val="24"/>
          <w:szCs w:val="24"/>
          <w:lang w:val="en-US" w:eastAsia="zh-CN"/>
        </w:rPr>
        <w:t xml:space="preserve">苏采云系统登录页详见“江苏政府采购网”</w:t>
      </w:r>
      <w:r>
        <w:rPr>
          <w:rFonts w:hint="eastAsia" w:ascii="宋体" w:hAnsi="宋体" w:eastAsia="宋体" w:cs="宋体"/>
          <w:color w:val="000000"/>
          <w:sz w:val="24"/>
          <w:szCs w:val="24"/>
          <w:highlight w:val="none"/>
          <w:lang w:val="en-US" w:eastAsia="zh-CN"/>
        </w:rPr>
        <w:t xml:space="preserve">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en-US" w:eastAsia="zh-CN"/>
        </w:rPr>
        <w:t xml:space="preserve">成交</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采购人《质疑函》收件人：宋工，收件地址：</w:t>
      </w:r>
      <w:r>
        <w:rPr>
          <w:rFonts w:hint="eastAsia" w:ascii="宋体" w:hAnsi="宋体" w:eastAsia="宋体" w:cs="宋体"/>
          <w:color w:val="000000"/>
          <w:sz w:val="24"/>
          <w:szCs w:val="24"/>
          <w:highlight w:val="none"/>
          <w:u w:val="none"/>
          <w:lang w:val="en-US" w:eastAsia="zh-CN"/>
        </w:rPr>
        <w:t xml:space="preserve">江苏省南京市江宁区秣周东路9号，</w:t>
      </w:r>
      <w:r>
        <w:rPr>
          <w:rFonts w:hint="eastAsia" w:ascii="宋体" w:hAnsi="宋体" w:eastAsia="宋体" w:cs="Times New Roman"/>
          <w:b w:val="0"/>
          <w:bCs w:val="0"/>
          <w:color w:val="000000"/>
          <w:sz w:val="24"/>
          <w:lang w:val="en-US" w:eastAsia="zh-CN"/>
        </w:rPr>
        <w:t xml:space="preserve">联系电话：19951683616。</w:t>
      </w:r>
      <w:r/>
    </w:p>
    <w:p>
      <w:pPr>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29"/>
      <w:r/>
      <w:bookmarkEnd w:id="30"/>
      <w:r/>
      <w:bookmarkEnd w:id="31"/>
      <w:r/>
      <w:bookmarkEnd w:id="32"/>
      <w:r/>
      <w:bookmarkEnd w:id="33"/>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1.采购人</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名  称：</w:t>
      </w:r>
      <w:r>
        <w:rPr>
          <w:rFonts w:hint="eastAsia" w:ascii="宋体" w:hAnsi="宋体" w:eastAsia="宋体" w:cs="Times New Roman"/>
          <w:b w:val="0"/>
          <w:bCs w:val="0"/>
          <w:color w:val="000000"/>
          <w:sz w:val="24"/>
          <w:lang w:val="zh-CN"/>
        </w:rPr>
        <w:t xml:space="preserve">紫金山实验室</w:t>
      </w:r>
      <w:r>
        <w:rPr>
          <w:rFonts w:hint="eastAsia" w:ascii="宋体" w:hAnsi="宋体" w:eastAsia="宋体" w:cs="Times New Roman"/>
          <w:b w:val="0"/>
          <w:bCs w:val="0"/>
          <w:color w:val="000000"/>
          <w:sz w:val="24"/>
          <w:lang w:val="en-US" w:eastAsia="zh-CN"/>
        </w:rPr>
        <w:t xml:space="preserve">          </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地  址：</w:t>
      </w:r>
      <w:r>
        <w:rPr>
          <w:rFonts w:hint="eastAsia" w:ascii="宋体" w:hAnsi="宋体" w:eastAsia="宋体" w:cs="Times New Roman"/>
          <w:b w:val="0"/>
          <w:bCs w:val="0"/>
          <w:color w:val="000000"/>
          <w:sz w:val="24"/>
          <w:lang w:val="zh-CN"/>
        </w:rPr>
        <w:t xml:space="preserve">南京市江宁区秣周东路9号B1栋</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联系人：宋先生</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联系电话：19951683616</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2.交易中心</w:t>
      </w:r>
      <w:r/>
    </w:p>
    <w:p>
      <w:pPr>
        <w:ind w:firstLine="480"/>
        <w:spacing w:line="252" w:lineRule="auto"/>
        <w:widowControl/>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地　址：南京市建邺区江东中路265号  </w:t>
      </w:r>
      <w:r/>
    </w:p>
    <w:p>
      <w:pPr>
        <w:ind w:firstLine="480"/>
        <w:spacing w:line="252"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联系人：邹女士</w:t>
      </w:r>
      <w:r/>
    </w:p>
    <w:p>
      <w:pPr>
        <w:ind w:firstLine="480"/>
        <w:spacing w:line="252"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联系电话：025-68505810</w:t>
      </w:r>
      <w:r/>
    </w:p>
    <w:p>
      <w:pPr>
        <w:pStyle w:val="700"/>
        <w:rPr>
          <w:rFonts w:hint="eastAsia"/>
          <w:color w:val="000000"/>
          <w:lang w:val="en-US" w:eastAsia="zh-CN"/>
        </w:rPr>
      </w:pPr>
      <w:r>
        <w:rPr>
          <w:rFonts w:hint="eastAsia"/>
          <w:color w:val="000000"/>
          <w:lang w:val="en-US" w:eastAsia="zh-CN"/>
        </w:rPr>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r>
      <w:r/>
    </w:p>
    <w:p>
      <w:pPr>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outlineLvl w:val="0"/>
      </w:pPr>
      <w:r/>
      <w:bookmarkStart w:id="34" w:name="_Toc12061421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第二章  </w:t>
      </w:r>
      <w:bookmarkEnd w:id="34"/>
      <w:r>
        <w:rPr>
          <w:rFonts w:hint="eastAsia" w:ascii="方正小标宋简体" w:hAnsi="方正小标宋简体" w:eastAsia="方正小标宋简体" w:cs="方正小标宋简体"/>
          <w:color w:val="000000"/>
          <w:sz w:val="36"/>
          <w:szCs w:val="36"/>
        </w:rPr>
        <w:t xml:space="preserve">供应商须知</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35" w:name="_Toc120614214"/>
      <w:r/>
      <w:bookmarkStart w:id="36" w:name="_Toc513029203"/>
      <w:r/>
      <w:bookmarkStart w:id="37" w:name="_Toc20823275"/>
      <w:r/>
      <w:bookmarkStart w:id="38" w:name="_Toc16938519"/>
      <w:r>
        <w:rPr>
          <w:rFonts w:hint="eastAsia" w:ascii="方正黑体_GBK" w:hAnsi="方正黑体_GBK" w:eastAsia="方正黑体_GBK" w:cs="方正黑体_GBK"/>
          <w:b w:val="0"/>
          <w:bCs w:val="0"/>
          <w:color w:val="000000"/>
          <w:sz w:val="30"/>
          <w:szCs w:val="30"/>
        </w:rPr>
        <w:t xml:space="preserve">一、总则</w:t>
      </w:r>
      <w:bookmarkEnd w:id="35"/>
      <w:r/>
      <w:bookmarkEnd w:id="36"/>
      <w:r/>
      <w:bookmarkEnd w:id="37"/>
      <w:r/>
      <w:bookmarkEnd w:id="38"/>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39" w:name="_Hlt16619475"/>
      <w:r/>
      <w:bookmarkEnd w:id="39"/>
      <w:r/>
      <w:bookmarkStart w:id="40" w:name="_Toc458694821"/>
      <w:r/>
      <w:bookmarkStart w:id="41" w:name="_Toc20823276"/>
      <w:r/>
      <w:bookmarkStart w:id="42" w:name="_Toc16938520"/>
      <w:r/>
      <w:bookmarkStart w:id="43" w:name="_Toc513029204"/>
      <w:r>
        <w:rPr>
          <w:rFonts w:hint="eastAsia" w:ascii="方正楷体_GBK" w:hAnsi="方正楷体_GBK" w:eastAsia="方正楷体_GBK" w:cs="方正楷体_GBK"/>
          <w:b/>
          <w:bCs/>
          <w:color w:val="000000"/>
        </w:rPr>
        <w:t xml:space="preserve">1</w:t>
      </w:r>
      <w:bookmarkEnd w:id="40"/>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采购方式</w:t>
      </w:r>
      <w:bookmarkEnd w:id="41"/>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44" w:name="_Toc16938521"/>
      <w:r/>
      <w:bookmarkStart w:id="45" w:name="_Toc20823277"/>
      <w:r/>
      <w:bookmarkStart w:id="46" w:name="_Toc5130292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w:t>
      </w:r>
      <w:bookmarkEnd w:id="44"/>
      <w:r/>
      <w:bookmarkEnd w:id="45"/>
      <w:r/>
      <w:bookmarkEnd w:id="46"/>
      <w:r>
        <w:rPr>
          <w:rFonts w:hint="eastAsia" w:ascii="方正楷体_GBK" w:hAnsi="方正楷体_GBK" w:eastAsia="方正楷体_GBK" w:cs="方正楷体_GBK"/>
          <w:b/>
          <w:bCs/>
          <w:color w:val="000000"/>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47" w:name="_Toc16938522"/>
      <w:r/>
      <w:bookmarkStart w:id="48" w:name="_Toc513029206"/>
      <w:r/>
      <w:bookmarkStart w:id="49" w:name="_Toc20823278"/>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0" w:name="_Toc16938523"/>
      <w:r/>
      <w:bookmarkStart w:id="51" w:name="_Toc462564067"/>
      <w:r/>
      <w:bookmarkStart w:id="52" w:name="_Toc513029207"/>
      <w:r/>
      <w:bookmarkStart w:id="53" w:name="_Toc20823279"/>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谈判费用</w:t>
      </w:r>
      <w:bookmarkEnd w:id="50"/>
      <w:r/>
      <w:bookmarkEnd w:id="51"/>
      <w:r/>
      <w:bookmarkEnd w:id="52"/>
      <w:r/>
      <w:bookmarkEnd w:id="53"/>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4" w:name="_Toc20823281"/>
      <w:r/>
      <w:bookmarkStart w:id="55" w:name="_Toc16938525"/>
      <w:r/>
      <w:bookmarkStart w:id="56" w:name="_Toc120614215"/>
      <w:r/>
      <w:bookmarkStart w:id="57" w:name="_Toc513029209"/>
      <w:r>
        <w:rPr>
          <w:rFonts w:hint="eastAsia" w:ascii="方正黑体_GBK" w:hAnsi="方正黑体_GBK" w:eastAsia="方正黑体_GBK" w:cs="方正黑体_GBK"/>
          <w:b w:val="0"/>
          <w:bCs w:val="0"/>
          <w:color w:val="000000"/>
          <w:sz w:val="30"/>
          <w:szCs w:val="30"/>
        </w:rPr>
        <w:t xml:space="preserve">二、</w:t>
      </w:r>
      <w:bookmarkEnd w:id="54"/>
      <w:r/>
      <w:bookmarkEnd w:id="55"/>
      <w:r/>
      <w:bookmarkEnd w:id="56"/>
      <w:r/>
      <w:bookmarkEnd w:id="57"/>
      <w:r>
        <w:rPr>
          <w:rFonts w:hint="eastAsia" w:ascii="方正黑体_GBK" w:hAnsi="方正黑体_GBK" w:eastAsia="方正黑体_GBK" w:cs="方正黑体_GBK"/>
          <w:b w:val="0"/>
          <w:bCs w:val="0"/>
          <w:color w:val="000000"/>
          <w:sz w:val="30"/>
          <w:szCs w:val="30"/>
        </w:rPr>
        <w:t xml:space="preserve">谈判文件</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8" w:name="_Toc513029210"/>
      <w:r/>
      <w:bookmarkStart w:id="59" w:name="_Toc16938526"/>
      <w:r/>
      <w:bookmarkStart w:id="60"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谈判文件构成</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1" w:name="_Toc16938527"/>
      <w:r/>
      <w:bookmarkStart w:id="62" w:name="_Toc513029211"/>
      <w:r/>
      <w:bookmarkStart w:id="63" w:name="_Toc20823283"/>
      <w:r/>
      <w:bookmarkStart w:id="64" w:name="_Toc462564070"/>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谈判文件的澄清</w:t>
      </w:r>
      <w:bookmarkEnd w:id="61"/>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5" w:name="_Toc16938528"/>
      <w:r/>
      <w:bookmarkStart w:id="66" w:name="_Toc462564071"/>
      <w:r/>
      <w:bookmarkStart w:id="67" w:name="_Toc20823284"/>
      <w:r/>
      <w:bookmarkStart w:id="68" w:name="_Toc513029212"/>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谈判文件的修改</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69" w:name="_Toc462564072"/>
      <w:r/>
      <w:bookmarkStart w:id="70" w:name="_Toc513029213"/>
      <w:r/>
      <w:bookmarkStart w:id="71" w:name="_Toc20823285"/>
      <w:r/>
      <w:bookmarkStart w:id="72" w:name="_Toc16938529"/>
      <w:r/>
      <w:bookmarkStart w:id="73" w:name="_Toc120614216"/>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69"/>
      <w:r/>
      <w:bookmarkEnd w:id="70"/>
      <w:r/>
      <w:bookmarkEnd w:id="71"/>
      <w:r/>
      <w:bookmarkEnd w:id="72"/>
      <w:r/>
      <w:bookmarkEnd w:id="73"/>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4" w:name="_Toc462564073"/>
      <w:r/>
      <w:bookmarkStart w:id="75" w:name="_Toc513029214"/>
      <w:r/>
      <w:bookmarkStart w:id="76" w:name="_Toc20823286"/>
      <w:r/>
      <w:bookmarkStart w:id="77" w:name="_Toc16938530"/>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响应文件的语言及度量衡单位</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8" w:name="_Toc20823287"/>
      <w:r/>
      <w:bookmarkStart w:id="79" w:name="_Toc513029215"/>
      <w:r/>
      <w:bookmarkStart w:id="80" w:name="_Toc462564074"/>
      <w:r/>
      <w:bookmarkStart w:id="81" w:name="_Toc16938531"/>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响应文件构成</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如标书制作工具中格式和内容与“江苏政府采购网”发布的谈判文件不一致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以“江苏政府采购网”发布的谈判文件为准。</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2" w:name="_Hlt26668975"/>
      <w:r/>
      <w:bookmarkEnd w:id="82"/>
      <w:r/>
      <w:bookmarkStart w:id="83" w:name="_Hlt26954838"/>
      <w:r/>
      <w:bookmarkEnd w:id="83"/>
      <w:r/>
      <w:bookmarkStart w:id="84" w:name="_Hlt26670360"/>
      <w:r/>
      <w:bookmarkEnd w:id="84"/>
      <w:r/>
      <w:bookmarkStart w:id="85" w:name="_Toc14577357"/>
      <w:r/>
      <w:bookmarkStart w:id="86" w:name="_Toc513029219"/>
      <w:r/>
      <w:bookmarkStart w:id="87" w:name="_Toc49090509"/>
      <w:r/>
      <w:bookmarkStart w:id="88" w:name="_Toc513029216"/>
      <w:r/>
      <w:bookmarkStart w:id="89" w:name="_Toc14577354"/>
      <w:r/>
      <w:bookmarkStart w:id="90" w:name="_Toc49090507"/>
      <w:r/>
      <w:bookmarkStart w:id="91" w:name="_Toc49090508"/>
      <w:r/>
      <w:bookmarkStart w:id="92" w:name="_Toc14577355"/>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证明谈判响应标的符合谈判文件规定的文件</w:t>
      </w:r>
      <w:bookmarkEnd w:id="85"/>
      <w:r/>
      <w:bookmarkEnd w:id="86"/>
      <w:r/>
      <w:bookmarkEnd w:id="87"/>
      <w:r/>
      <w:bookmarkEnd w:id="88"/>
      <w:r/>
      <w:bookmarkEnd w:id="89"/>
      <w:r/>
      <w:bookmarkEnd w:id="9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供应商应按照法律、法规、规章和规范性文件以及谈判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证明其响应标的符合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bookmarkEnd w:id="91"/>
      <w:r/>
      <w:bookmarkEnd w:id="92"/>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分项报价表</w:t>
      </w:r>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3" w:name="_Hlt26954731"/>
      <w:r/>
      <w:bookmarkEnd w:id="93"/>
      <w:r/>
      <w:bookmarkStart w:id="94" w:name="_Hlt26954846"/>
      <w:r/>
      <w:bookmarkEnd w:id="94"/>
      <w:r/>
      <w:bookmarkStart w:id="95" w:name="_Hlt26670486"/>
      <w:r/>
      <w:bookmarkEnd w:id="95"/>
      <w:r/>
      <w:bookmarkStart w:id="96" w:name="_Hlt26670482"/>
      <w:r/>
      <w:bookmarkEnd w:id="96"/>
      <w:r/>
      <w:bookmarkStart w:id="97" w:name="_Hlt26954848"/>
      <w:r/>
      <w:bookmarkEnd w:id="97"/>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8" w:name="_Toc49090510"/>
      <w:r/>
      <w:bookmarkStart w:id="99" w:name="_Toc1457735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谈判响应函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bookmarkEnd w:id="98"/>
      <w:r/>
      <w:bookmarkEnd w:id="99"/>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0" w:name="_Toc14577360"/>
      <w:r/>
      <w:bookmarkStart w:id="101" w:name="_Toc49090511"/>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谈判有效期</w:t>
      </w:r>
      <w:bookmarkEnd w:id="100"/>
      <w:r/>
      <w:bookmarkEnd w:id="10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6.</w:t>
      </w:r>
      <w:r>
        <w:rPr>
          <w:rFonts w:hint="eastAsia" w:ascii="方正楷体_GBK" w:hAnsi="方正楷体_GBK" w:eastAsia="方正楷体_GBK" w:cs="方正楷体_GBK"/>
          <w:b/>
          <w:bCs/>
          <w:color w:val="000000"/>
        </w:rPr>
        <w:t xml:space="preserve">谈判有效期的延长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2" w:name="_Hlt26954739"/>
      <w:r/>
      <w:bookmarkEnd w:id="102"/>
      <w:r/>
      <w:bookmarkStart w:id="103" w:name="_Hlt26954852"/>
      <w:r/>
      <w:bookmarkEnd w:id="103"/>
      <w:r/>
      <w:bookmarkStart w:id="104" w:name="_Toc120614217"/>
      <w:r/>
      <w:bookmarkStart w:id="105" w:name="_Toc16938540"/>
      <w:r/>
      <w:bookmarkStart w:id="106" w:name="_Toc513029224"/>
      <w:r/>
      <w:bookmarkStart w:id="107" w:name="_Toc20823296"/>
      <w:r>
        <w:rPr>
          <w:rFonts w:hint="eastAsia" w:ascii="方正黑体_GBK" w:hAnsi="方正黑体_GBK" w:eastAsia="方正黑体_GBK" w:cs="方正黑体_GBK"/>
          <w:b w:val="0"/>
          <w:bCs w:val="0"/>
          <w:color w:val="000000"/>
          <w:sz w:val="30"/>
          <w:szCs w:val="30"/>
        </w:rPr>
        <w:t xml:space="preserve">四、响应文件的递交</w:t>
      </w:r>
      <w:bookmarkEnd w:id="104"/>
      <w:r/>
      <w:bookmarkEnd w:id="105"/>
      <w:r/>
      <w:bookmarkEnd w:id="106"/>
      <w:r/>
      <w:bookmarkEnd w:id="107"/>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8" w:name="_Toc513029225"/>
      <w:r/>
      <w:bookmarkStart w:id="109" w:name="_Toc16938541"/>
      <w:r/>
      <w:bookmarkStart w:id="110" w:name="_Toc20823297"/>
      <w:r/>
      <w:bookmarkStart w:id="111" w:name="_Toc462564084"/>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谈判</w:t>
      </w:r>
      <w:bookmarkEnd w:id="108"/>
      <w:r/>
      <w:bookmarkEnd w:id="109"/>
      <w:r/>
      <w:bookmarkEnd w:id="110"/>
      <w:r/>
      <w:bookmarkEnd w:id="111"/>
      <w:r>
        <w:rPr>
          <w:rFonts w:hint="eastAsia" w:ascii="方正楷体_GBK" w:hAnsi="方正楷体_GBK" w:eastAsia="方正楷体_GBK" w:cs="方正楷体_GBK"/>
          <w:b/>
          <w:bCs/>
          <w:color w:val="000000"/>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eastAsia="zh-CN"/>
        </w:rPr>
        <w:t xml:space="preserve">公告规定的提交响应文件截止时间前制作并上传电子响应文件。</w:t>
      </w:r>
      <w:bookmarkStart w:id="112" w:name="_Toc20823298"/>
      <w:r/>
      <w:bookmarkStart w:id="113" w:name="_Toc513029226"/>
      <w:r/>
      <w:bookmarkStart w:id="114" w:name="_Toc16938542"/>
      <w:r/>
      <w:bookmarkEnd w:id="112"/>
      <w:r/>
      <w:bookmarkEnd w:id="113"/>
      <w:r/>
      <w:bookmarkEnd w:id="11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eastAsia="zh-CN"/>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lang w:val="zh-CN" w:eastAsia="zh-CN"/>
        </w:rPr>
        <w:t xml:space="preserve">，如因供应商自身原因造成的电子响应文件上传不成功</w:t>
      </w:r>
      <w:r>
        <w:rPr>
          <w:rFonts w:hint="eastAsia" w:ascii="宋体" w:hAnsi="宋体" w:eastAsia="宋体" w:cs="Times New Roman"/>
          <w:color w:val="000000"/>
          <w:sz w:val="24"/>
          <w:szCs w:val="22"/>
          <w:lang w:val="zh-CN"/>
        </w:rPr>
        <w:t xml:space="preserve">由供应商自行承担全部责任</w:t>
      </w:r>
      <w:r>
        <w:rPr>
          <w:rFonts w:hint="eastAsia" w:ascii="宋体" w:hAnsi="宋体" w:eastAsia="宋体" w:cs="Times New Roman"/>
          <w:color w:val="000000"/>
          <w:sz w:val="24"/>
          <w:lang w:val="zh-CN" w:eastAsia="zh-CN"/>
        </w:rPr>
        <w:t xml:space="preserve">，并按照本谈判文件第二章第2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交易中心可以按照规定，通过修改谈判文件酌情延长提交响应文件截止时间，在此情况下，供应商的所有权利和义务均以延长后新的截止时间为准。</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5" w:name="_Toc16938543"/>
      <w:r/>
      <w:bookmarkStart w:id="116" w:name="_Toc20823299"/>
      <w:r/>
      <w:bookmarkStart w:id="117" w:name="_Toc513029227"/>
      <w:r>
        <w:rPr>
          <w:rFonts w:hint="eastAsia" w:ascii="方正楷体_GBK" w:hAnsi="方正楷体_GBK" w:eastAsia="方正楷体_GBK" w:cs="方正楷体_GBK"/>
          <w:b/>
          <w:bCs/>
          <w:color w:val="000000"/>
          <w:lang w:val="en-US" w:eastAsia="zh-CN"/>
        </w:rPr>
        <w:t xml:space="preserve">18.</w:t>
      </w:r>
      <w:r>
        <w:rPr>
          <w:rFonts w:hint="eastAsia" w:ascii="方正楷体_GBK" w:hAnsi="方正楷体_GBK" w:eastAsia="方正楷体_GBK" w:cs="方正楷体_GBK"/>
          <w:b/>
          <w:bCs/>
          <w:color w:val="000000"/>
        </w:rPr>
        <w:t xml:space="preserve">响应文件</w:t>
      </w:r>
      <w:bookmarkEnd w:id="115"/>
      <w:r/>
      <w:bookmarkEnd w:id="116"/>
      <w:r/>
      <w:bookmarkEnd w:id="117"/>
      <w:r>
        <w:rPr>
          <w:rFonts w:hint="eastAsia" w:ascii="方正楷体_GBK" w:hAnsi="方正楷体_GBK" w:eastAsia="方正楷体_GBK" w:cs="方正楷体_GBK"/>
          <w:b/>
          <w:bCs/>
          <w:color w:val="000000"/>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提交响应文件截止时间后上传的任何响应文件将被拒绝。</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8" w:name="_Toc513029228"/>
      <w:r/>
      <w:bookmarkStart w:id="119" w:name="_Toc16938544"/>
      <w:r/>
      <w:bookmarkStart w:id="120" w:name="_Toc20823300"/>
      <w:r>
        <w:rPr>
          <w:rFonts w:hint="eastAsia" w:ascii="方正楷体_GBK" w:hAnsi="方正楷体_GBK" w:eastAsia="方正楷体_GBK" w:cs="方正楷体_GBK"/>
          <w:b/>
          <w:bCs/>
          <w:color w:val="000000"/>
          <w:lang w:val="en-US" w:eastAsia="zh-CN"/>
        </w:rPr>
        <w:t xml:space="preserve">19.</w:t>
      </w:r>
      <w:r>
        <w:rPr>
          <w:rFonts w:hint="eastAsia" w:ascii="方正楷体_GBK" w:hAnsi="方正楷体_GBK" w:eastAsia="方正楷体_GBK" w:cs="方正楷体_GBK"/>
          <w:b/>
          <w:bCs/>
          <w:color w:val="000000"/>
        </w:rPr>
        <w:t xml:space="preserve">响应文件的撤回和修改</w:t>
      </w:r>
      <w:bookmarkEnd w:id="118"/>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供应商撤回电子响应文件，则认为其不再参与本项目谈判活动。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1" w:name="_Toc513029229"/>
      <w:r/>
      <w:bookmarkStart w:id="122" w:name="_Toc16938545"/>
      <w:r/>
      <w:bookmarkStart w:id="123" w:name="_Toc120614218"/>
      <w:r/>
      <w:bookmarkStart w:id="124" w:name="_Toc20823301"/>
      <w:r>
        <w:rPr>
          <w:rFonts w:hint="eastAsia" w:ascii="方正黑体_GBK" w:hAnsi="方正黑体_GBK" w:eastAsia="方正黑体_GBK" w:cs="方正黑体_GBK"/>
          <w:b w:val="0"/>
          <w:bCs w:val="0"/>
          <w:color w:val="000000"/>
          <w:sz w:val="30"/>
          <w:szCs w:val="30"/>
        </w:rPr>
        <w:t xml:space="preserve">五、响应文件的解密与评审</w:t>
      </w:r>
      <w:bookmarkEnd w:id="121"/>
      <w:r/>
      <w:bookmarkEnd w:id="122"/>
      <w:r/>
      <w:bookmarkEnd w:id="123"/>
      <w:r/>
      <w:bookmarkEnd w:id="124"/>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20.</w:t>
      </w:r>
      <w:r>
        <w:rPr>
          <w:rFonts w:hint="eastAsia" w:ascii="方正楷体_GBK" w:hAnsi="方正楷体_GBK" w:eastAsia="方正楷体_GBK" w:cs="方正楷体_GBK"/>
          <w:b/>
          <w:bCs/>
          <w:color w:val="000000"/>
        </w:rPr>
        <w:t xml:space="preserve">响应文件解密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供应商应当按照《操作手册》规定，在苏采云系统规定的时间内对响应文件进行解密。</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lang w:val="en-US" w:eastAsia="zh-CN"/>
        </w:rPr>
      </w:pPr>
      <w:r/>
      <w:bookmarkStart w:id="125" w:name="_Toc20823303"/>
      <w:r/>
      <w:bookmarkStart w:id="126" w:name="_Toc513029231"/>
      <w:r/>
      <w:bookmarkStart w:id="127" w:name="_Toc16938547"/>
      <w:r>
        <w:rPr>
          <w:rFonts w:hint="eastAsia" w:ascii="方正楷体_GBK" w:hAnsi="方正楷体_GBK" w:eastAsia="方正楷体_GBK" w:cs="方正楷体_GBK"/>
          <w:b/>
          <w:bCs/>
          <w:color w:val="000000"/>
          <w:lang w:val="en-US" w:eastAsia="zh-CN"/>
        </w:rPr>
        <w:t xml:space="preserve">21.谈判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21.2 </w:t>
      </w:r>
      <w:r>
        <w:rPr>
          <w:rFonts w:hint="eastAsia" w:ascii="宋体" w:hAnsi="宋体" w:eastAsia="宋体" w:cs="Times New Roman"/>
          <w:color w:val="000000"/>
          <w:sz w:val="24"/>
          <w:lang w:val="zh-CN" w:eastAsia="zh-CN"/>
        </w:rPr>
        <w:t xml:space="preserve">谈判小组由采购人代表和有关方面的专家组成，人员构成符合政府采购有关规定。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2.</w:t>
      </w:r>
      <w:r>
        <w:rPr>
          <w:rFonts w:hint="eastAsia" w:ascii="方正楷体_GBK" w:hAnsi="方正楷体_GBK" w:eastAsia="方正楷体_GBK" w:cs="方正楷体_GBK"/>
          <w:b/>
          <w:bCs/>
          <w:color w:val="000000"/>
        </w:rPr>
        <w:t xml:space="preserve">评审过程的保密与公正</w:t>
      </w:r>
      <w:bookmarkEnd w:id="125"/>
      <w:r/>
      <w:bookmarkEnd w:id="126"/>
      <w:r/>
      <w:bookmarkEnd w:id="12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8" w:name="_Toc513029232"/>
      <w:r/>
      <w:bookmarkStart w:id="129" w:name="_Toc20823304"/>
      <w:r/>
      <w:bookmarkStart w:id="130"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3.</w:t>
      </w:r>
      <w:r>
        <w:rPr>
          <w:rFonts w:hint="eastAsia" w:ascii="方正楷体_GBK" w:hAnsi="方正楷体_GBK" w:eastAsia="方正楷体_GBK" w:cs="方正楷体_GBK"/>
          <w:b/>
          <w:bCs/>
          <w:color w:val="000000"/>
        </w:rPr>
        <w:t xml:space="preserve">评审过程中的的澄清</w:t>
      </w:r>
      <w:bookmarkEnd w:id="128"/>
      <w:r/>
      <w:bookmarkEnd w:id="129"/>
      <w:r/>
      <w:bookmarkEnd w:id="13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需要供应商进行澄清、说明和补正的，谈判小组将通过苏采云系统向供应商发布</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lang w:val="zh-CN"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lang w:val="zh-CN"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1" w:name="_Toc20823305"/>
      <w:r/>
      <w:bookmarkStart w:id="132" w:name="_Toc513029233"/>
      <w:r/>
      <w:bookmarkStart w:id="133"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响应文件的审</w:t>
      </w:r>
      <w:bookmarkEnd w:id="131"/>
      <w:r/>
      <w:bookmarkEnd w:id="132"/>
      <w:r/>
      <w:bookmarkEnd w:id="133"/>
      <w:r>
        <w:rPr>
          <w:rFonts w:hint="eastAsia" w:ascii="方正楷体_GBK" w:hAnsi="方正楷体_GBK" w:eastAsia="方正楷体_GBK" w:cs="方正楷体_GBK"/>
          <w:b/>
          <w:bCs/>
          <w:color w:val="000000"/>
        </w:rPr>
        <w:t xml:space="preserve">查</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24.1.2 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应当启动异常低价投标审查程序：</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34"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34"/>
      <w:r>
        <w:rPr>
          <w:rFonts w:hint="eastAsia" w:ascii="宋体" w:hAnsi="宋体" w:eastAsia="宋体" w:cs="Times New Roman"/>
          <w:color w:val="000000"/>
          <w:sz w:val="24"/>
          <w:szCs w:val="22"/>
          <w:lang w:val="zh-CN" w:eastAsia="zh-CN"/>
        </w:rPr>
        <w:t xml:space="preserve">。</w:t>
      </w:r>
      <w:r/>
    </w:p>
    <w:p>
      <w:pPr>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谈判小组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未实质性响应谈判文件</w:t>
      </w:r>
      <w:r>
        <w:rPr>
          <w:rFonts w:hint="eastAsia" w:ascii="宋体" w:hAnsi="宋体" w:eastAsia="宋体" w:cs="Times New Roman"/>
          <w:color w:val="000000"/>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24.4 未实质性响应谈判文件的情形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供应商未按照谈判文件要求上传电子响应文件。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供应商不具备谈判文件中规定的资格要求。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供应商的最后报价超过了采购预算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.9</w:t>
      </w:r>
      <w:r>
        <w:rPr>
          <w:rFonts w:hint="eastAsia" w:ascii="宋体" w:hAnsi="宋体" w:eastAsia="宋体" w:cs="Times New Roman"/>
          <w:color w:val="000000"/>
          <w:sz w:val="24"/>
          <w:lang w:val="en-US" w:eastAsia="zh-CN"/>
        </w:rPr>
        <w:t xml:space="preserve"> 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进行异常低价投标审查后，认为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10</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响应文件未按照谈判文件要求加盖电子公章。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szCs w:val="21"/>
          <w:lang w:val="en-US" w:eastAsia="zh-CN"/>
        </w:rPr>
        <w:t xml:space="preserve">法律法规及本谈判文件规定的其他无效响应情形。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lang w:val="zh-CN" w:eastAsia="zh-CN"/>
        </w:rPr>
        <w:t xml:space="preserve">未实质性响应谈判文件的响应文件按无效响应处理。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如果响应文件实质上没有响应谈判文件的要求，谈判小组将予以拒绝，供应商不得通过修改或撤销不合理要求的偏离或保留而使其成为实质性响应的文件。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及时登录苏采云系统查阅、答复相关信息，</w:t>
      </w:r>
      <w:r>
        <w:rPr>
          <w:rFonts w:hint="eastAsia" w:ascii="宋体" w:hAnsi="宋体" w:eastAsia="宋体" w:cs="Times New Roman"/>
          <w:color w:val="000000"/>
          <w:sz w:val="24"/>
          <w:lang w:val="zh-CN" w:eastAsia="zh-CN"/>
        </w:rPr>
        <w:t xml:space="preserve">并安排专人与交易中心及谈判小组联系。</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lang w:val="zh-CN" w:eastAsia="zh-CN"/>
        </w:rPr>
      </w:pPr>
      <w:r/>
      <w:bookmarkStart w:id="135" w:name="_Toc513029234"/>
      <w:r/>
      <w:bookmarkStart w:id="136" w:name="_Toc20823306"/>
      <w:r/>
      <w:bookmarkStart w:id="137" w:name="_Toc16938550"/>
      <w:r>
        <w:rPr>
          <w:rFonts w:hint="eastAsia" w:ascii="方正楷体_GBK" w:hAnsi="方正楷体_GBK" w:eastAsia="方正楷体_GBK" w:cs="方正楷体_GBK"/>
          <w:b/>
          <w:bCs/>
          <w:color w:val="000000"/>
          <w:lang w:val="zh-CN" w:eastAsia="zh-CN"/>
        </w:rPr>
        <w:t xml:space="preserve">2</w:t>
      </w:r>
      <w:bookmarkEnd w:id="135"/>
      <w:r/>
      <w:bookmarkEnd w:id="136"/>
      <w:r/>
      <w:bookmarkEnd w:id="137"/>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lang w:val="zh-CN" w:eastAsia="zh-CN"/>
        </w:rPr>
        <w:t xml:space="preserve">谈判程序及成交标准</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.1</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zh-CN" w:eastAsia="zh-CN"/>
        </w:rPr>
        <w:t xml:space="preserve">谈判程序</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w:t>
      </w:r>
      <w:r>
        <w:rPr>
          <w:rFonts w:hint="eastAsia" w:ascii="宋体" w:hAnsi="宋体" w:eastAsia="宋体" w:cs="Times New Roman"/>
          <w:color w:val="000000"/>
          <w:sz w:val="24"/>
          <w:szCs w:val="21"/>
          <w:lang w:val="en-US" w:eastAsia="zh-CN"/>
        </w:rPr>
        <w:t xml:space="preserve">小组将与通过资格审查和符合性审查的供应商分别进行</w:t>
      </w:r>
      <w:r>
        <w:rPr>
          <w:rFonts w:hint="eastAsia" w:ascii="宋体" w:hAnsi="宋体" w:eastAsia="宋体" w:cs="Times New Roman"/>
          <w:color w:val="000000"/>
          <w:sz w:val="24"/>
          <w:lang w:val="zh-CN" w:eastAsia="zh-CN"/>
        </w:rPr>
        <w:t xml:space="preserve">谈判。谈判小组通过苏采云系统向供应商发布《谈判函》，供应商应当按照要求在苏采云系统提交《谈判响应函》并加盖电子公章。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000000"/>
          <w:sz w:val="24"/>
          <w:lang w:val="en-US" w:eastAsia="zh-CN"/>
        </w:rPr>
        <w:t xml:space="preserve">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b w:val="0"/>
          <w:bCs w:val="0"/>
          <w:color w:val="000000"/>
          <w:sz w:val="24"/>
          <w:lang w:val="zh-CN" w:eastAsia="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eastAsia="zh-CN"/>
        </w:rPr>
        <w:t xml:space="preserve">.2 成交标准。</w:t>
      </w:r>
      <w:r>
        <w:rPr>
          <w:rFonts w:hint="eastAsia" w:ascii="宋体" w:hAnsi="宋体" w:eastAsia="宋体" w:cs="Times New Roman"/>
          <w:color w:val="000000"/>
          <w:sz w:val="24"/>
          <w:lang w:val="zh-CN" w:eastAsia="zh-CN"/>
        </w:rPr>
        <w:t xml:space="preserve">见谈判文件第五章</w:t>
      </w:r>
      <w:r>
        <w:rPr>
          <w:rFonts w:hint="eastAsia" w:ascii="宋体" w:hAnsi="宋体" w:eastAsia="宋体" w:cs="Times New Roman"/>
          <w:color w:val="000000"/>
          <w:sz w:val="24"/>
          <w:szCs w:val="22"/>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.1因情况变化，不再符合规定的竞争性谈判采购方式适用情形。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38" w:name="_Toc513029235"/>
      <w:r/>
      <w:bookmarkStart w:id="139" w:name="_Toc20823307"/>
      <w:r/>
      <w:bookmarkStart w:id="140" w:name="_Toc16938551"/>
      <w:r/>
      <w:bookmarkStart w:id="141" w:name="_Toc120614219"/>
      <w:r/>
      <w:bookmarkStart w:id="142" w:name="_Toc513029238"/>
      <w:r/>
      <w:bookmarkStart w:id="143" w:name="_Toc16938554"/>
      <w:r/>
      <w:bookmarkStart w:id="144" w:name="_Toc2082331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.3.4在谈判过程中符合要求的供应商或者最后报价未超过采购预算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.3.5法律法规规定的其他应当终止情形。</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谈判小组应</w:t>
      </w:r>
      <w:r>
        <w:rPr>
          <w:rFonts w:hint="eastAsia" w:ascii="宋体" w:hAnsi="宋体" w:eastAsia="宋体" w:cs="Times New Roman"/>
          <w:b/>
          <w:bCs/>
          <w:color w:val="000000"/>
          <w:sz w:val="24"/>
          <w:szCs w:val="22"/>
          <w:lang w:val="en-US" w:eastAsia="zh-CN" w:bidi="ar"/>
        </w:rPr>
        <w:t xml:space="preserve">对谈判</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38"/>
      <w:r/>
      <w:bookmarkEnd w:id="139"/>
      <w:r/>
      <w:bookmarkEnd w:id="140"/>
      <w:r/>
      <w:bookmarkEnd w:id="141"/>
      <w:r>
        <w:rPr>
          <w:rFonts w:hint="eastAsia" w:ascii="方正黑体_GBK" w:hAnsi="方正黑体_GBK" w:eastAsia="方正黑体_GBK" w:cs="方正黑体_GBK"/>
          <w:b w:val="0"/>
          <w:bCs w:val="0"/>
          <w:color w:val="000000"/>
          <w:sz w:val="30"/>
          <w:szCs w:val="30"/>
        </w:rPr>
        <w:t xml:space="preserve">成交</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lang w:val="en-US" w:eastAsia="zh-CN"/>
        </w:rPr>
      </w:pPr>
      <w:r>
        <w:rPr>
          <w:rFonts w:hint="eastAsia" w:ascii="方正楷体_GBK" w:hAnsi="方正楷体_GBK" w:eastAsia="方正楷体_GBK" w:cs="方正楷体_GBK"/>
          <w:b/>
          <w:bCs/>
          <w:color w:val="000000"/>
          <w:lang w:val="en-US" w:eastAsia="zh-CN"/>
        </w:rPr>
        <w:t xml:space="preserve">26</w:t>
      </w:r>
      <w:bookmarkEnd w:id="142"/>
      <w:r>
        <w:rPr>
          <w:rFonts w:hint="eastAsia" w:ascii="方正楷体_GBK" w:hAnsi="方正楷体_GBK" w:eastAsia="方正楷体_GBK" w:cs="方正楷体_GBK"/>
          <w:b/>
          <w:bCs/>
          <w:color w:val="000000"/>
          <w:lang w:val="en-US" w:eastAsia="zh-CN"/>
        </w:rPr>
        <w:t xml:space="preserve">.确定</w:t>
      </w:r>
      <w:bookmarkEnd w:id="143"/>
      <w:r/>
      <w:bookmarkEnd w:id="144"/>
      <w:r>
        <w:rPr>
          <w:rFonts w:hint="eastAsia" w:ascii="方正楷体_GBK" w:hAnsi="方正楷体_GBK" w:eastAsia="方正楷体_GBK" w:cs="方正楷体_GBK"/>
          <w:b/>
          <w:bCs/>
          <w:color w:val="000000"/>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26.1</w:t>
      </w:r>
      <w:r>
        <w:rPr>
          <w:rFonts w:hint="eastAsia" w:ascii="宋体" w:hAnsi="宋体" w:eastAsia="宋体" w:cs="Times New Roman"/>
          <w:color w:val="000000"/>
          <w:sz w:val="24"/>
          <w:szCs w:val="21"/>
          <w:lang w:val="en-US" w:eastAsia="zh-CN"/>
        </w:rPr>
        <w:t xml:space="preserve"> 成交候选供应商的确定原则和数量见谈判文件第五章。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）种方式确定成交供应商</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（1）谈判小组直接确定排名第一的成交候选供应商为成交供应商。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（2）采购人在谈判小组推荐的成交候选供应商中按顺序确定成交供应商。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按第二种方式确定成交供应商的，交易中心自评审结束之日起两个工作日内将评审报告送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26.3</w:t>
      </w:r>
      <w:r>
        <w:rPr>
          <w:rFonts w:hint="eastAsia" w:ascii="宋体" w:hAnsi="宋体" w:eastAsia="宋体" w:cs="Times New Roman"/>
          <w:color w:val="000000"/>
          <w:sz w:val="24"/>
          <w:lang w:val="zh-CN" w:eastAsia="zh-CN"/>
        </w:rPr>
        <w:t xml:space="preserve">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26.4 </w:t>
      </w:r>
      <w:r>
        <w:rPr>
          <w:rFonts w:hint="eastAsia" w:ascii="宋体" w:hAnsi="宋体" w:eastAsia="宋体" w:cs="Times New Roman"/>
          <w:b/>
          <w:bCs/>
          <w:color w:val="000000"/>
          <w:sz w:val="24"/>
          <w:lang w:val="zh-CN" w:eastAsia="zh-CN"/>
        </w:rPr>
        <w:t xml:space="preserve">若有充分证据证明成交供应商出现下列情况之一的，一经查实将被取消成交资格：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26.4.4 不满足本谈判文件规定的实质性要求，但在评审过程中未被谈判小组发现。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26.4.5 </w:t>
      </w:r>
      <w:r>
        <w:rPr>
          <w:rFonts w:hint="eastAsia" w:ascii="宋体" w:hAnsi="宋体" w:eastAsia="宋体" w:cs="Times New Roman"/>
          <w:color w:val="000000"/>
          <w:sz w:val="24"/>
          <w:lang w:val="zh-CN"/>
        </w:rPr>
        <w:t xml:space="preserve">采取不正当手段诋毁、排挤其他供应商。</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45" w:name="_Hlt16619369"/>
      <w:r/>
      <w:bookmarkEnd w:id="145"/>
      <w:r/>
      <w:bookmarkStart w:id="146" w:name="_Toc120614244"/>
      <w:r/>
      <w:bookmarkStart w:id="147" w:name="_Hlt16619350"/>
      <w:r/>
      <w:bookmarkStart w:id="148" w:name="_Toc16938590"/>
      <w:r/>
      <w:bookmarkStart w:id="149" w:name="_Toc20823346"/>
      <w:r/>
      <w:bookmarkStart w:id="150" w:name="_Toc479757211"/>
      <w:r/>
      <w:bookmarkStart w:id="151" w:name="_Toc462564139"/>
      <w:r>
        <w:rPr>
          <w:rFonts w:hint="eastAsia" w:ascii="方正楷体_GBK" w:hAnsi="方正楷体_GBK" w:eastAsia="方正楷体_GBK" w:cs="方正楷体_GBK"/>
          <w:b/>
          <w:bCs/>
          <w:color w:val="000000"/>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谈判文件、成交供应商的响应文件及谈判过程中有关澄清、承诺文件均作为合同附件。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w:t>
      </w:r>
      <w:r>
        <w:rPr>
          <w:rFonts w:hint="eastAsia" w:ascii="宋体" w:hAnsi="宋体" w:eastAsia="宋体" w:cs="Courier New"/>
          <w:color w:val="000000"/>
          <w:sz w:val="24"/>
          <w:szCs w:val="24"/>
          <w:lang w:val="zh-CN" w:eastAsia="zh-CN"/>
        </w:rPr>
        <w:t xml:space="preserve">货物或服务（包含与货物相关的服务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Times New Roman"/>
          <w:color w:val="000000"/>
          <w:sz w:val="24"/>
          <w:szCs w:val="21"/>
          <w:lang w:val="en-US" w:eastAsia="zh-CN"/>
        </w:rPr>
        <w:t xml:space="preserve">，在不改变合同其他条款的前提下，可以与成交供应商协商签订补充合同，但所有补充合同的金额不超过原合同金额10%。</w:t>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p>
    <w:p>
      <w:pPr>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Times New Roman"/>
          <w:color w:val="000000"/>
          <w:sz w:val="24"/>
          <w:szCs w:val="22"/>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76"/>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87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p>
    <w:p>
      <w:pPr>
        <w:pStyle w:val="87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876"/>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876"/>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76"/>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p>
    <w:p>
      <w:pPr>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p>
    <w:p>
      <w:pPr>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00"/>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00"/>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rPr>
          <w:color w:val="000000"/>
        </w:rPr>
      </w:pPr>
      <w:r>
        <w:rPr>
          <w:color w:val="000000"/>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color w:val="000000"/>
          <w:sz w:val="44"/>
          <w:szCs w:val="44"/>
        </w:r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color w:val="000000"/>
          <w:sz w:val="44"/>
          <w:szCs w:val="44"/>
        </w:rPr>
      </w:r>
      <w:r/>
    </w:p>
    <w:p>
      <w:pPr>
        <w:jc w:val="center"/>
        <w:spacing w:before="120" w:after="120" w:line="0" w:lineRule="atLeast"/>
        <w:rPr>
          <w:rFonts w:ascii="黑体" w:hAnsi="Courier New" w:eastAsia="黑体" w:cs="Courier New"/>
          <w:color w:val="000000"/>
          <w:sz w:val="44"/>
          <w:szCs w:val="44"/>
        </w:rPr>
      </w:pPr>
      <w:r>
        <w:rPr>
          <w:rFonts w:ascii="黑体" w:hAnsi="Courier New" w:eastAsia="黑体" w:cs="Courier New"/>
          <w:color w:val="000000"/>
          <w:sz w:val="44"/>
          <w:szCs w:val="4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p>
    <w:p>
      <w:pPr>
        <w:ind w:firstLine="480"/>
        <w:keepLines w:val="0"/>
        <w:keepNext w:val="0"/>
        <w:pageBreakBefore w:val="0"/>
        <w:spacing w:line="240" w:lineRule="auto"/>
        <w:widowControl w:val="off"/>
        <w:rPr>
          <w:rFonts w:hint="eastAsia" w:ascii="宋体" w:hAnsi="宋体"/>
          <w:bCs/>
          <w:color w:val="000000"/>
          <w:sz w:val="24"/>
          <w:szCs w:val="21"/>
        </w:rPr>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color w:val="000000"/>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甲方</w:t>
      </w:r>
      <w:r>
        <w:rPr>
          <w:rFonts w:hint="eastAsia" w:ascii="宋体" w:hAnsi="宋体" w:eastAsia="宋体" w:cs="Courier New"/>
          <w:color w:val="000000"/>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按谈判文件及响应文件执行。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0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color w:val="000000"/>
          <w:sz w:val="24"/>
          <w:szCs w:val="24"/>
        </w:rPr>
        <w:t xml:space="preserve">本合同金额为（大写）：</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圆（</w:t>
      </w:r>
      <w:r>
        <w:rPr>
          <w:rFonts w:hint="eastAsia" w:hAnsi="宋体" w:eastAsia="宋体" w:cs="Courier New"/>
          <w:color w:val="000000"/>
          <w:sz w:val="24"/>
          <w:szCs w:val="24"/>
          <w:u w:val="single"/>
          <w:lang w:val="en-US" w:eastAsia="zh-CN"/>
        </w:rPr>
        <w:t xml:space="preserve">                  </w:t>
      </w:r>
      <w:r>
        <w:rPr>
          <w:rFonts w:hint="eastAsia" w:hAnsi="宋体" w:eastAsia="宋体" w:cs="Courier New"/>
          <w:color w:val="000000"/>
          <w:sz w:val="24"/>
          <w:szCs w:val="24"/>
        </w:rPr>
        <w:t xml:space="preserve">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8.1.1 合同签订后，甲方支付合同总价款的30%作为预付款。</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8.1.2 目完成开发，软件在指定平台部署并通过甲方组织的初步功能验收后10个工作日内，甲方向乙方支付合同总价的40%。</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8.1.3项目全部交付成果通过最终验收后 10个工作日内，甲方向乙方支付合同总价的30%。</w:t>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8.1.4 满足合同约定支付条件的，甲方收到乙方发票后10个工作日内，将资金支付到合同约定的乙方账户。 </w:t>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p>
    <w:p>
      <w:pPr>
        <w:pStyle w:val="90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11.7 </w:t>
      </w:r>
      <w:r>
        <w:rPr>
          <w:rFonts w:hint="eastAsia" w:ascii="宋体" w:hAnsi="宋体" w:eastAsia="宋体" w:cs="Courier New"/>
          <w:color w:val="000000"/>
          <w:sz w:val="24"/>
          <w:szCs w:val="24"/>
          <w:lang w:val="zh-CN" w:eastAsia="zh-CN"/>
        </w:rPr>
        <w:t xml:space="preserve">网络安全、市场准入要求：</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Arial" w:hAnsi="Arial" w:eastAsia="宋体" w:cs="Arial"/>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ascii="SimSun" w:hAnsi="SimSun" w:eastAsia="SimSun" w:cs="SimSun"/>
          <w:color w:val="000000"/>
          <w:sz w:val="24"/>
        </w:rPr>
        <w:t xml:space="preserve">，违约金最高不得超过合同总价的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sz w:val="21"/>
        </w:rPr>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5 </w:t>
      </w:r>
      <w:r>
        <w:rPr>
          <w:rFonts w:ascii="Arial" w:hAnsi="Arial" w:eastAsia="宋体" w:cs="Arial"/>
          <w:color w:val="000000"/>
          <w:sz w:val="24"/>
          <w:szCs w:val="24"/>
          <w:u w:val="single"/>
          <w:lang w:val="en-US" w:eastAsia="zh-CN"/>
        </w:rPr>
        <w:t xml:space="preserve">‰</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20%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p>
    <w:p>
      <w:pPr>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09"/>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p>
    <w:p>
      <w:pPr>
        <w:pStyle w:val="909"/>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p>
    <w:p>
      <w:pPr>
        <w:pStyle w:val="909"/>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p>
    <w:p>
      <w:pPr>
        <w:pStyle w:val="909"/>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val="0"/>
          <w:color w:val="000000"/>
          <w:sz w:val="32"/>
          <w:szCs w:val="32"/>
          <w:highlight w:val="none"/>
        </w:rPr>
        <w:outlineLvl w:val="9"/>
      </w:pPr>
      <w:r>
        <w:rPr>
          <w:rFonts w:hint="eastAsia" w:ascii="方正小标宋简体" w:hAnsi="方正小标宋简体" w:eastAsia="方正小标宋简体" w:cs="方正小标宋简体"/>
          <w:b w:val="0"/>
          <w:bCs w:val="0"/>
          <w:color w:val="000000"/>
          <w:sz w:val="32"/>
          <w:szCs w:val="32"/>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jc w:val="both"/>
        <w:spacing w:before="120" w:after="120" w:line="0" w:lineRule="atLeast"/>
        <w:rPr>
          <w:rFonts w:ascii="黑体" w:hAnsi="Courier New" w:eastAsia="黑体" w:cs="Courier New"/>
          <w:bCs/>
          <w:color w:val="000000"/>
          <w:sz w:val="44"/>
          <w:szCs w:val="21"/>
        </w:rPr>
        <w:outlineLvl w:val="0"/>
      </w:pPr>
      <w:r>
        <w:rPr>
          <w:rFonts w:ascii="黑体" w:hAnsi="Courier New" w:eastAsia="黑体" w:cs="Courier New"/>
          <w:bCs/>
          <w:color w:val="000000"/>
          <w:sz w:val="44"/>
          <w:szCs w:val="21"/>
        </w:rPr>
      </w:r>
      <w:r/>
    </w:p>
    <w:p>
      <w:pPr>
        <w:shd w:val="nil" w:color="auto"/>
        <w:rPr>
          <w:rFonts w:hint="eastAsia" w:ascii="黑体" w:hAnsi="Courier New" w:eastAsia="黑体" w:cs="Courier New"/>
          <w:color w:val="000000"/>
          <w:sz w:val="44"/>
          <w:szCs w:val="44"/>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第四章 采购需求</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jc w:val="left"/>
        <w:keepLines w:val="0"/>
        <w:keepNext w:val="0"/>
        <w:pageBreakBefore w:val="0"/>
        <w:spacing w:line="283" w:lineRule="exact"/>
        <w:widowControl w:val="off"/>
        <w:rPr>
          <w:rFonts w:hint="eastAsia" w:ascii="宋体" w:hAnsi="宋体" w:cs="宋体"/>
          <w:color w:val="000000"/>
          <w:sz w:val="24"/>
          <w:szCs w:val="24"/>
        </w:rPr>
        <w:suppressLineNumbers w:val="0"/>
      </w:pPr>
      <w:r>
        <w:rPr>
          <w:rFonts w:hint="eastAsia" w:ascii="宋体" w:hAnsi="宋体" w:cs="宋体"/>
          <w:color w:val="000000"/>
          <w:sz w:val="24"/>
          <w:szCs w:val="24"/>
        </w:rPr>
        <w:t xml:space="preserve">采购一套智能网联汽车C-V2X协议解析软件及应用系统，实现核心车路协同场景的协议支持与功能演示，为后续研究提供软件基础。</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984"/>
        <w:tblW w:w="5020"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5"/>
        <w:gridCol w:w="1878"/>
        <w:gridCol w:w="700"/>
        <w:gridCol w:w="670"/>
        <w:gridCol w:w="1389"/>
        <w:gridCol w:w="1153"/>
        <w:gridCol w:w="993"/>
        <w:gridCol w:w="1157"/>
        <w:gridCol w:w="1236"/>
      </w:tblGrid>
      <w:tr>
        <w:trPr>
          <w:trHeight w:val="470"/>
        </w:trPr>
        <w:tc>
          <w:tcPr>
            <w:tcW w:w="33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tcW w:w="99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p>
        </w:tc>
        <w:tc>
          <w:tcPr>
            <w:tcW w:w="53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p>
          <w:p>
            <w:pPr>
              <w:jc w:val="center"/>
              <w:keepLines w:val="0"/>
              <w:keepNext w:val="0"/>
              <w:pageBreakBefore w:val="0"/>
              <w:spacing w:line="264" w:lineRule="auto"/>
              <w:widowControl w:val="off"/>
              <w:rPr>
                <w:rFonts w:hint="eastAsia"/>
                <w:color w:val="000000"/>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p>
        </w:tc>
        <w:tc>
          <w:tcPr>
            <w:tcW w:w="61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p>
        </w:tc>
        <w:tc>
          <w:tcPr>
            <w:tcW w:w="52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p>
        </w:tc>
        <w:tc>
          <w:tcPr>
            <w:tcW w:w="654"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p>
        </w:tc>
      </w:tr>
      <w:tr>
        <w:trPr>
          <w:trHeight w:val="414"/>
        </w:trPr>
        <w:tc>
          <w:tcPr>
            <w:tcW w:w="331"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995" w:type="dxa"/>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智能网联汽车C-V2X协议解析软件及应用系统软件开发服务</w:t>
            </w:r>
            <w:r/>
          </w:p>
        </w:tc>
        <w:tc>
          <w:tcPr>
            <w:tcW w:w="371"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p>
        </w:tc>
        <w:tc>
          <w:tcPr>
            <w:tcW w:w="355"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w:t>
            </w:r>
            <w:r/>
          </w:p>
        </w:tc>
        <w:tc>
          <w:tcPr>
            <w:tcW w:w="53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611"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r>
            <w:r/>
          </w:p>
        </w:tc>
        <w:tc>
          <w:tcPr>
            <w:tcW w:w="526"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bCs/>
                <w:color w:val="000000"/>
                <w:sz w:val="24"/>
                <w:szCs w:val="24"/>
              </w:rPr>
              <w:t xml:space="preserve">软件和信息技术服务业</w:t>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服务</w:t>
            </w:r>
            <w:r/>
          </w:p>
        </w:tc>
        <w:tc>
          <w:tcPr>
            <w:tcW w:w="654" w:type="dxa"/>
            <w:vAlign w:val="center"/>
            <w:textDirection w:val="lrTb"/>
            <w:noWrap w:val="false"/>
          </w:tcPr>
          <w:p>
            <w:pPr>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1.协议与标准：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系统需依据中国汽车工程学会团体标准《合作式智能运输系统 车用通信系统应用层及应用数据交互标准（第一阶段）》（T/CSAE 53-2020）对C-V2X的数据协议和通信要求。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鼓励兼容参考工业和信息化部发布的最新行业标准，如《V2X车载单元与车载系统互联应用层技术要求》（YD/T 4772-2024） 及《C-V2X规模化测试系统及接口技术要求》（YD/T 4771-2024）。</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2.功能性需求：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（1）要求系统支持团标T/CSAE53-2020第一阶段17个场景的协议和数据格式开发；</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要求系统基于指定芯片平台开发，完成对指定芯片的蜂窝（5G/LTE）（PC5和Uu）、蓝牙、WIFI、GNSS、CA认证，以及时钟同步模块的驱动调试，提供开发文档（软件总体设计、概要设计、详细设计、接口设计、测试方案、测试报告等）和技术支持；</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（3）应用层软件功能需包含以下场景开发：紧急制动预警（V2V）、交叉路口碰撞预警（V2I）、实时导航与交通优化（V2N）和车辆与手机APP直接通讯功能，验收时需要进行场景演示；</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（4）应用软件运行环境：基于DRA829J芯片；通信模块基于AG550Q芯片；</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（5）要求对开发的应用功能和接口协议提供详细测试方案，包含测试用例，涵盖功能测试、性能测试和安全性测试。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3.运行与开发环境：</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人将提供一套标准的硬件开发平台及其软件SDK包（包含主控计算单元及支持集成C-V2X、GNSS等功能的通信模组），用于软件部署、联调与测试。提供之前，供应商应与采购人签署保密协议，保证所提供的开发平台、SDK及相关技术资料仅用于本项目约定的用途，未经采购人书面同意不得复制、披露或向任何第三方泄露，并在项目结束后按采购人要求归还或销毁所有相关材料。</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供应商开发的软件必须在该标准平台上正常运行，并完成应用软件与平台各通信接口（蜂窝网络、PC5直连、蓝牙、Wi-Fi等）的适配与调试。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4.性能指标：</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（1）通信时延：端到端（V2V/V2I/V2N）通信时延 ≤ 100ms（含协议封装、传输、解析全流程）。</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（2）预警时延：从事件检测到预警信息生成 ≤ 50ms。</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（3）并发支持：支持 ≥ 100 个终端设备（含车辆、路侧设备、手机APP）同时在线通信； 支持 ≥ 50 条/秒的V2X消息并发处理（含C-V2X PC5/Uu接口）。</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（4）稳定性：系统在标准压力负载下，持续运行 72小时无重大故障及服务中断。</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（5）连接性能：蓝牙/Wi-Fi连接建立时间 ≤ 3秒，异常断开后重连时间 ≤ 1秒。</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要求系统达到信息安全等级保护相应级别</w:t>
      </w:r>
      <w:r>
        <w:rPr>
          <w:rFonts w:hint="eastAsia" w:ascii="宋体" w:hAnsi="宋体" w:eastAsia="宋体" w:cs="宋体"/>
          <w:color w:val="000000"/>
          <w:sz w:val="24"/>
          <w:szCs w:val="24"/>
          <w:lang w:val="en-US" w:eastAsia="zh-CN"/>
        </w:rPr>
        <w:t xml:space="preserve">。</w:t>
      </w:r>
      <w:r/>
    </w:p>
    <w:p>
      <w:pPr>
        <w:ind w:firstLine="72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5.交付成果清单：</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（1）全部软件源代码（可编译通过）。</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（2）完整开发文档：《软件总体设计方案》、《软件详细设计说明书》、《接口设计文档》、《测试方案与用例集》、《系统测试报告》、《用户操作手册》。</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（3）测试报告：必须包含功能测试、性能测试及安全测试报告。</w:t>
      </w:r>
      <w:r/>
    </w:p>
    <w:p>
      <w:pPr>
        <w:pStyle w:val="946"/>
        <w:numPr>
          <w:ilvl w:val="0"/>
          <w:numId w:val="0"/>
        </w:numPr>
        <w:rPr>
          <w:color w:val="000000"/>
          <w:lang w:val="en-US" w:eastAsia="zh-CN"/>
        </w:rPr>
      </w:pPr>
      <w:r>
        <w:rPr>
          <w:rFonts w:hint="eastAsia"/>
          <w:color w:val="000000"/>
          <w:lang w:val="en-US" w:eastAsia="zh-CN"/>
        </w:rPr>
        <w:t xml:space="preserve">     </w:t>
      </w:r>
      <w:r/>
    </w:p>
    <w:p>
      <w:pPr>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（1）报价应合理，不得超过预算金额。报价应包含为满足本项目所有技术要求及交付内容所需的一切费用，须覆盖所有服务清单项，包括测试集开发、样本分析、报告生成和咨询支持。</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1.实施要求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供应商需确保交付的所有内容符合上述技术要求，提供源代码、技术文档以及测试集咨询和支持服务。</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（2）知识产权要求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乙方为履行本合同而独立开发的、且此前未为他人所拥有的“项目成果”（包括但不限于源代码、技术文档），其知识产权归甲方所有。</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承诺，其在本项目中使用的任何背景知识产权（即在本合同签订前已拥有的知识产权）均具有合法授权。乙方授予甲方对该背景知识产权中为实现本合同目的所必需部分，在项目范围内永久的、不可撤销的、免费的使用许可。</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乙方保证，其所提供的服务及交付成果不会侵犯任何第三方的合法权益（包括但不限于知识产权）。如发生任何第三方针对甲方提出侵权指控，乙方应负责解决并承担由此给甲方造成的全部损失</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软件在采购人提供的标准硬件平台上部署成功，运行稳定。</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现场或远程视频演示“第四章四、（一）2.功能性需求（3）”中明确的核心功能场景。</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提交的交付成果完整、规范，符合合同约定。</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（4）售后服务：</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提供自最终验收合格之日起3年的免费运维服务，提供7×24小时技术响应。</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在项目地或线上提供不少于3次的系统操作与维护技术培训。</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（5）保密义务</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双方应对在履行合同过程中知悉的对方商业秘密（包括技术信息、经营信息等）予以保密，未经对方事先书面同意，不得向任何第三方泄露。此保密义务在本合同终止后持续有效 五年。</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采购文件成交标准中涉及的相关证明材料，应在响应文件中提供，由评审小组在评审现场予以确认。签订合同时供应商应按采购人要求提供上述证明材料原件供采购人核验。</w:t>
      </w:r>
      <w:bookmarkEnd w:id="146"/>
      <w:r/>
      <w:bookmarkEnd w:id="147"/>
      <w:r/>
      <w:bookmarkEnd w:id="148"/>
      <w:r/>
      <w:bookmarkEnd w:id="149"/>
      <w:r/>
      <w:r/>
    </w:p>
    <w:p>
      <w:pPr>
        <w:ind w:firstLine="480"/>
        <w:spacing w:line="560" w:lineRule="exact"/>
        <w:rPr>
          <w:rFonts w:hint="eastAsia" w:ascii="宋体" w:hAnsi="宋体"/>
          <w:color w:val="000000"/>
          <w:sz w:val="24"/>
          <w:szCs w:val="21"/>
        </w:rPr>
      </w:pPr>
      <w:r/>
      <w:bookmarkStart w:id="152" w:name="_Toc49090575"/>
      <w:r/>
      <w:bookmarkStart w:id="153" w:name="_Toc26554093"/>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54" w:name="_Toc120614281"/>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jc w:val="both"/>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bookmarkStart w:id="164" w:name="_GoBack"/>
      <w:r/>
      <w:bookmarkEnd w:id="164"/>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r>
      <w:r/>
    </w:p>
    <w:p>
      <w:pPr>
        <w:shd w:val="nil" w:color="auto"/>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p>
    <w:p>
      <w:pPr>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lang w:eastAsia="zh-CN"/>
        </w:rPr>
      </w:pPr>
      <w:r>
        <w:rPr>
          <w:rFonts w:hint="eastAsia" w:ascii="Times New Roman" w:hAnsi="Times New Roman" w:eastAsia="宋体" w:cs="Times New Roman"/>
          <w:b w:val="0"/>
          <w:bCs w:val="0"/>
          <w:color w:val="000000"/>
          <w:sz w:val="21"/>
          <w:szCs w:val="21"/>
          <w:lang w:eastAsia="zh-CN"/>
        </w:rPr>
      </w:r>
      <w:r/>
    </w:p>
    <w:p>
      <w:pPr>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p>
    <w:p>
      <w:pPr>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p>
    <w:p>
      <w:pPr>
        <w:pStyle w:val="900"/>
        <w:ind w:firstLine="480"/>
        <w:spacing w:line="288"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w:t>
      </w:r>
      <w:r>
        <w:rPr>
          <w:rFonts w:hint="eastAsia" w:ascii="宋体" w:hAnsi="宋体" w:eastAsia="宋体" w:cs="宋体"/>
          <w:i w:val="0"/>
          <w:iCs w:val="0"/>
          <w:caps w:val="0"/>
          <w:color w:val="000000"/>
          <w:spacing w:val="0"/>
          <w:sz w:val="24"/>
          <w:szCs w:val="24"/>
          <w:shd w:val="clear" w:color="auto" w:fill="auto"/>
          <w:lang w:val="zh-CN"/>
        </w:rPr>
        <w:t xml:space="preserve">供应商的评审价格如相同，按照供应商在“苏采云系统”最终递交响应文件的先后顺序进行排名。</w:t>
      </w:r>
      <w:r/>
    </w:p>
    <w:p>
      <w:pPr>
        <w:ind w:firstLine="480"/>
        <w:spacing w:line="264"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p>
    <w:p>
      <w:pPr>
        <w:ind w:firstLine="420"/>
        <w:keepLines w:val="0"/>
        <w:keepNext w:val="0"/>
        <w:pageBreakBefore w:val="0"/>
        <w:spacing w:line="288" w:lineRule="auto"/>
        <w:widowControl w:val="off"/>
        <w:rPr>
          <w:rFonts w:hint="eastAsia" w:ascii="宋体" w:hAnsi="宋体" w:eastAsia="宋体" w:cs="Times New Roman"/>
          <w:color w:val="000000"/>
          <w:sz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eastAsia="zh-CN"/>
        </w:rPr>
        <w:t xml:space="preserve">小微企业</w:t>
      </w:r>
      <w:r>
        <w:rPr>
          <w:rFonts w:hint="eastAsia" w:ascii="宋体" w:hAnsi="宋体" w:eastAsia="宋体" w:cs="Times New Roman"/>
          <w:color w:val="000000"/>
          <w:sz w:val="24"/>
          <w:lang w:val="zh-CN" w:eastAsia="zh-CN"/>
        </w:rPr>
        <w:t xml:space="preserve">承接</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en-US" w:eastAsia="zh-CN"/>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Times New Roman"/>
          <w:color w:val="000000"/>
          <w:sz w:val="24"/>
          <w:lang w:val="en-US" w:eastAsia="zh-CN"/>
        </w:rPr>
        <w:t xml:space="preserve">的扣除，用扣除后的价格参与评审。</w:t>
      </w:r>
      <w:r/>
    </w:p>
    <w:p>
      <w:pPr>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52"/>
      <w:r/>
      <w:bookmarkEnd w:id="153"/>
      <w:r/>
      <w:bookmarkEnd w:id="154"/>
      <w:r>
        <w:rPr>
          <w:rFonts w:hint="eastAsia" w:ascii="方正小标宋简体" w:hAnsi="方正小标宋简体" w:eastAsia="方正小标宋简体" w:cs="方正小标宋简体"/>
          <w:color w:val="000000"/>
          <w:sz w:val="36"/>
          <w:szCs w:val="36"/>
          <w:lang w:val="en-US"/>
        </w:rPr>
        <w:t xml:space="preserve">响应文件格式 </w:t>
      </w:r>
      <w:r/>
    </w:p>
    <w:p>
      <w:pPr>
        <w:jc w:val="center"/>
        <w:rPr>
          <w:rFonts w:hint="eastAsia" w:ascii="宋体" w:hAnsi="宋体"/>
          <w:b/>
          <w:color w:val="000000"/>
          <w:sz w:val="72"/>
          <w:szCs w:val="21"/>
        </w:rPr>
      </w:pPr>
      <w:r/>
      <w:bookmarkStart w:id="155" w:name="_Hlt26955039"/>
      <w:r/>
      <w:bookmarkEnd w:id="155"/>
      <w:r/>
      <w:bookmarkStart w:id="156" w:name="_Hlt26671244"/>
      <w:r/>
      <w:bookmarkEnd w:id="156"/>
      <w:r/>
      <w:bookmarkStart w:id="157" w:name="_Toc26554094"/>
      <w:r/>
      <w:bookmarkStart w:id="158" w:name="_Toc120614282"/>
      <w:r/>
      <w:bookmarkStart w:id="159"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四、谈判响应函</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五、谈判报价表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14:ligatures w14:val="none"/>
        </w:rPr>
      </w:pPr>
      <w:r>
        <w:rPr>
          <w:rFonts w:hint="eastAsia" w:ascii="宋体" w:hAnsi="宋体" w:eastAsia="宋体" w:cs="宋体"/>
          <w:b w:val="0"/>
          <w:bCs w:val="0"/>
          <w:i w:val="0"/>
          <w:iCs w:val="0"/>
          <w:color w:val="000000"/>
          <w:sz w:val="28"/>
          <w:szCs w:val="28"/>
          <w:u w:val="none"/>
          <w:lang w:val="en-US" w:eastAsia="zh-CN"/>
        </w:rPr>
        <w:t xml:space="preserve">十二、关于符合本国产品标准的声明函（如有）</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p>
    <w:p>
      <w:pPr>
        <w:rPr>
          <w:rFonts w:hint="eastAsia" w:ascii="黑体" w:hAnsi="黑体" w:eastAsia="黑体"/>
          <w:bCs/>
          <w:i/>
          <w:color w:val="000000"/>
          <w:sz w:val="32"/>
          <w:szCs w:val="32"/>
          <w:u w:val="single"/>
        </w:rPr>
      </w:pPr>
      <w:r>
        <w:rPr>
          <w:rFonts w:hint="eastAsia" w:ascii="黑体" w:hAnsi="黑体" w:eastAsia="黑体"/>
          <w:bCs/>
          <w:i/>
          <w:color w:val="000000"/>
          <w:sz w:val="32"/>
          <w:szCs w:val="32"/>
          <w:u w:val="single"/>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85"/>
        <w:rPr>
          <w:color w:val="000000"/>
          <w:sz w:val="24"/>
          <w:szCs w:val="24"/>
        </w:rPr>
      </w:pPr>
      <w:r>
        <w:rPr>
          <w:color w:val="000000"/>
          <w:sz w:val="24"/>
          <w:szCs w:val="24"/>
        </w:rPr>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480"/>
        <w:spacing w:line="560" w:lineRule="exact"/>
        <w:rPr>
          <w:rFonts w:hint="eastAsia" w:ascii="宋体" w:hAnsi="宋体"/>
          <w:color w:val="000000"/>
          <w:sz w:val="24"/>
          <w:szCs w:val="24"/>
        </w:rPr>
      </w:pPr>
      <w:r>
        <w:rPr>
          <w:rFonts w:hint="eastAsia"/>
          <w:color w:val="000000"/>
          <w:sz w:val="24"/>
          <w:szCs w:val="24"/>
        </w:rPr>
        <w:t xml:space="preserve">日  期：</w:t>
      </w:r>
      <w:r/>
    </w:p>
    <w:p>
      <w:pPr>
        <w:rPr>
          <w:color w:val="000000"/>
          <w:sz w:val="24"/>
          <w:szCs w:val="24"/>
        </w:rPr>
      </w:pPr>
      <w:r>
        <w:rPr>
          <w:color w:val="000000"/>
          <w:sz w:val="24"/>
          <w:szCs w:val="24"/>
        </w:rPr>
      </w:r>
      <w:r/>
    </w:p>
    <w:p>
      <w:pPr>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55"/>
        <w:ind w:firstLine="480"/>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p>
    <w:p>
      <w:pPr>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bookmarkEnd w:id="157"/>
      <w:r/>
      <w:bookmarkEnd w:id="158"/>
      <w:r/>
      <w:bookmarkEnd w:id="159"/>
      <w:r/>
      <w:r/>
    </w:p>
    <w:p>
      <w:pPr>
        <w:jc w:val="left"/>
        <w:spacing w:line="360" w:lineRule="auto"/>
        <w:rPr>
          <w:rFonts w:hint="eastAsia" w:ascii="黑体" w:hAnsi="黑体" w:eastAsia="黑体" w:cs="Times New Roman"/>
          <w:i w:val="0"/>
          <w:color w:val="000000"/>
          <w:sz w:val="32"/>
          <w:szCs w:val="32"/>
          <w:u w:val="none"/>
          <w:lang w:eastAsia="zh-CN"/>
        </w:rPr>
      </w:pPr>
      <w:r/>
      <w:bookmarkStart w:id="160" w:name="_Toc120614284"/>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55"/>
        <w:ind w:firstLine="480"/>
        <w:spacing w:line="420" w:lineRule="exact"/>
        <w:rPr>
          <w:rFonts w:hint="eastAsia"/>
          <w:color w:val="000000"/>
          <w:sz w:val="24"/>
          <w:szCs w:val="24"/>
        </w:rPr>
      </w:pPr>
      <w:r>
        <w:rPr>
          <w:rFonts w:hint="eastAsia"/>
          <w:color w:val="000000"/>
          <w:sz w:val="24"/>
          <w:szCs w:val="24"/>
        </w:rPr>
      </w:r>
      <w:r/>
    </w:p>
    <w:p>
      <w:pPr>
        <w:pStyle w:val="955"/>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p>
    <w:p>
      <w:pPr>
        <w:pStyle w:val="955"/>
        <w:ind w:firstLine="480"/>
        <w:spacing w:line="480" w:lineRule="exact"/>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p>
    <w:p>
      <w:pPr>
        <w:pStyle w:val="955"/>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955"/>
        <w:ind w:firstLine="480"/>
        <w:spacing w:line="480" w:lineRule="exact"/>
        <w:rPr>
          <w:rFonts w:hint="eastAsia" w:eastAsia="宋体"/>
          <w:color w:val="000000"/>
          <w:sz w:val="24"/>
          <w:szCs w:val="24"/>
          <w:u w:val="single"/>
          <w:lang w:val="en-US" w:eastAsia="zh-CN"/>
        </w:rPr>
      </w:pPr>
      <w:r>
        <w:rPr>
          <w:rFonts w:hint="eastAsia"/>
          <w:color w:val="000000"/>
          <w:sz w:val="24"/>
          <w:szCs w:val="24"/>
        </w:rPr>
        <w:t xml:space="preserve">被授权人联系电话：（手机）</w:t>
      </w:r>
      <w:r/>
    </w:p>
    <w:p>
      <w:pPr>
        <w:pStyle w:val="955"/>
        <w:spacing w:line="480" w:lineRule="exact"/>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p>
    <w:p>
      <w:pPr>
        <w:pStyle w:val="955"/>
        <w:ind w:firstLine="480"/>
        <w:spacing w:line="480" w:lineRule="exact"/>
        <w:rPr>
          <w:rFonts w:hint="eastAsia"/>
          <w:color w:val="000000"/>
          <w:sz w:val="24"/>
          <w:szCs w:val="24"/>
          <w:u w:val="single"/>
        </w:rPr>
      </w:pPr>
      <w:r>
        <w:rPr>
          <w:rFonts w:hint="eastAsia"/>
          <w:color w:val="000000"/>
          <w:sz w:val="24"/>
          <w:szCs w:val="24"/>
        </w:rPr>
        <w:t xml:space="preserve">单位地址：</w:t>
      </w:r>
      <w:r/>
    </w:p>
    <w:p>
      <w:pPr>
        <w:pStyle w:val="955"/>
        <w:ind w:firstLine="480"/>
        <w:spacing w:line="480" w:lineRule="exact"/>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61" w:name="_格式3__银行出具的资信证明"/>
      <w:r/>
      <w:bookmarkEnd w:id="161"/>
      <w:r/>
      <w:bookmarkStart w:id="162" w:name="_Hlt26955070"/>
      <w:r/>
      <w:bookmarkEnd w:id="162"/>
      <w:r/>
      <w:bookmarkStart w:id="163" w:name="_Hlt26671380"/>
      <w:r/>
      <w:bookmarkEnd w:id="163"/>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四、谈判响应函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p>
    <w:p>
      <w:pPr>
        <w:pStyle w:val="957"/>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p>
    <w:p>
      <w:pPr>
        <w:pStyle w:val="957"/>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p>
    <w:p>
      <w:pPr>
        <w:pStyle w:val="957"/>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.我方与本谈判有关的正式通讯地址为：</w:t>
      </w:r>
      <w:r/>
    </w:p>
    <w:p>
      <w:pPr>
        <w:pStyle w:val="957"/>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957"/>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p>
    <w:p>
      <w:pPr>
        <w:pStyle w:val="957"/>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p>
    <w:p>
      <w:pPr>
        <w:pStyle w:val="957"/>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p>
    <w:p>
      <w:pPr>
        <w:pStyle w:val="957"/>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p>
    <w:p>
      <w:pPr>
        <w:pStyle w:val="957"/>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pStyle w:val="957"/>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bookmarkEnd w:id="150"/>
      <w:r/>
      <w:bookmarkEnd w:id="151"/>
      <w:r/>
      <w:bookmarkEnd w:id="160"/>
      <w:r/>
      <w:r/>
    </w:p>
    <w:p>
      <w:pPr>
        <w:ind w:firstLine="420"/>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五、谈判报价表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p>
    <w:p>
      <w:pPr>
        <w:ind w:firstLine="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p>
    <w:tbl>
      <w:tblPr>
        <w:tblStyle w:val="699"/>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p>
        </w:tc>
      </w:tr>
      <w:tr>
        <w:trPr>
          <w:cantSplit/>
          <w:trHeight w:val="780"/>
        </w:trPr>
        <w:tc>
          <w:tcPr>
            <w:tcW w:w="9748" w:type="dxa"/>
            <w:vAlign w:val="center"/>
            <w:textDirection w:val="lrTb"/>
            <w:noWrap w:val="false"/>
          </w:tcPr>
          <w:p>
            <w:pPr>
              <w:pStyle w:val="957"/>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p>
        </w:tc>
      </w:tr>
    </w:tbl>
    <w:p>
      <w:pPr>
        <w:rPr>
          <w:rFonts w:ascii="宋体" w:hAnsi="宋体"/>
          <w:color w:val="000000"/>
          <w:sz w:val="24"/>
          <w:szCs w:val="24"/>
        </w:rPr>
      </w:pPr>
      <w:r>
        <w:rPr>
          <w:rFonts w:ascii="宋体" w:hAnsi="宋体"/>
          <w:color w:val="000000"/>
          <w:sz w:val="24"/>
          <w:szCs w:val="24"/>
        </w:rPr>
      </w:r>
      <w:r/>
    </w:p>
    <w:p>
      <w:pPr>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p>
    <w:p>
      <w:pPr>
        <w:rPr>
          <w:rFonts w:ascii="Times New Roman" w:hAnsi="Times New Roman"/>
          <w:color w:val="000000"/>
          <w:sz w:val="24"/>
          <w:szCs w:val="24"/>
        </w:rPr>
      </w:pPr>
      <w:r>
        <w:rPr>
          <w:rFonts w:ascii="Times New Roman" w:hAnsi="Times New Roman"/>
          <w:color w:val="000000"/>
          <w:sz w:val="24"/>
          <w:szCs w:val="24"/>
        </w:rPr>
      </w:r>
      <w:r/>
    </w:p>
    <w:p>
      <w:pPr>
        <w:rPr>
          <w:color w:val="000000"/>
        </w:rPr>
      </w:pPr>
      <w:r>
        <w:rPr>
          <w:color w:val="000000"/>
        </w:rPr>
      </w:r>
      <w:r/>
    </w:p>
    <w:p>
      <w:pPr>
        <w:rPr>
          <w:color w:val="000000"/>
        </w:rPr>
      </w:pPr>
      <w:r>
        <w:rPr>
          <w:color w:val="000000"/>
        </w:rPr>
      </w:r>
      <w:r/>
    </w:p>
    <w:p>
      <w:pPr>
        <w:pStyle w:val="700"/>
        <w:rPr>
          <w:color w:val="000000"/>
        </w:rPr>
      </w:pPr>
      <w:r>
        <w:rPr>
          <w:color w:val="000000"/>
        </w:rPr>
      </w:r>
      <w:r/>
    </w:p>
    <w:p>
      <w:pPr>
        <w:rPr>
          <w:color w:val="000000"/>
        </w:rPr>
      </w:pPr>
      <w:r>
        <w:rPr>
          <w:color w:val="000000"/>
        </w:rPr>
      </w:r>
      <w:r/>
    </w:p>
    <w:p>
      <w:pPr>
        <w:pStyle w:val="700"/>
        <w:rPr>
          <w:color w:val="000000"/>
        </w:rPr>
      </w:pPr>
      <w:r>
        <w:rPr>
          <w:color w:val="000000"/>
        </w:rPr>
      </w:r>
      <w:r/>
    </w:p>
    <w:p>
      <w:pPr>
        <w:rPr>
          <w:color w:val="000000"/>
        </w:rPr>
      </w:pPr>
      <w:r>
        <w:rPr>
          <w:color w:val="000000"/>
        </w:rPr>
      </w:r>
      <w:r/>
    </w:p>
    <w:p>
      <w:pPr>
        <w:pStyle w:val="70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p>
    <w:p>
      <w:pPr>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p>
    <w:tbl>
      <w:tblPr>
        <w:tblStyle w:val="699"/>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p>
        </w:tc>
        <w:tc>
          <w:tcPr>
            <w:tcW w:w="938" w:type="dxa"/>
            <w:vAlign w:val="center"/>
            <w:textDirection w:val="lrTb"/>
            <w:noWrap w:val="false"/>
          </w:tcPr>
          <w:p>
            <w:pPr>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p>
        </w:tc>
        <w:tc>
          <w:tcPr>
            <w:tcW w:w="1322"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p>
        </w:tc>
        <w:tc>
          <w:tcPr>
            <w:tcW w:w="970" w:type="dxa"/>
            <w:vAlign w:val="center"/>
            <w:textDirection w:val="lrTb"/>
            <w:noWrap w:val="false"/>
          </w:tcPr>
          <w:p>
            <w:pPr>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38" w:type="dxa"/>
            <w:vAlign w:val="center"/>
            <w:textDirection w:val="lrTb"/>
            <w:noWrap w:val="false"/>
          </w:tcPr>
          <w:p>
            <w:pPr>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p>
        </w:tc>
        <w:tc>
          <w:tcPr>
            <w:tcW w:w="1322"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000000"/>
                <w:sz w:val="24"/>
                <w:szCs w:val="24"/>
              </w:rPr>
            </w:pPr>
            <w:r>
              <w:rPr>
                <w:rFonts w:ascii="宋体" w:hAnsi="宋体"/>
                <w:color w:val="000000"/>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p>
        </w:tc>
      </w:tr>
    </w:tbl>
    <w:p>
      <w:pPr>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p>
    <w:p>
      <w:pPr>
        <w:ind w:firstLine="480"/>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rPr>
          <w:color w:val="000000"/>
        </w:rPr>
      </w:pPr>
      <w:r>
        <w:rPr>
          <w:color w:val="000000"/>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p>
    <w:tbl>
      <w:tblPr>
        <w:tblStyle w:val="699"/>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5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rPr>
          <w:color w:val="000000"/>
        </w:rPr>
      </w:pPr>
      <w:r>
        <w:rPr>
          <w:color w:val="000000"/>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p>
    <w:tbl>
      <w:tblPr>
        <w:tblStyle w:val="699"/>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2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bCs w:val="0"/>
          <w:i w:val="0"/>
          <w:color w:val="000000"/>
          <w:sz w:val="32"/>
          <w:szCs w:val="32"/>
          <w:highlight w:val="none"/>
          <w:u w:val="none"/>
          <w:lang w:val="en-US" w:eastAsia="zh-CN"/>
        </w:rPr>
      </w:r>
      <w:r/>
    </w:p>
    <w:p>
      <w:p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黑体" w:hAnsi="Calibri" w:eastAsia="黑体" w:cs="Times New Roman"/>
          <w:color w:val="000000"/>
          <w:sz w:val="32"/>
          <w:szCs w:val="32"/>
          <w:lang w:val="en-US" w:eastAsia="zh-CN"/>
        </w:rPr>
        <w:outlineLvl w:val="9"/>
      </w:pPr>
      <w:r>
        <w:rPr>
          <w:rFonts w:hint="eastAsia" w:ascii="黑体" w:hAnsi="Calibri" w:eastAsia="黑体" w:cs="Times New Roman"/>
          <w:color w:val="000000"/>
          <w:sz w:val="32"/>
          <w:szCs w:val="32"/>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w:t>
      </w:r>
      <w:r>
        <w:rPr>
          <w:rFonts w:hint="eastAsia" w:ascii="宋体" w:hAnsi="宋体"/>
          <w:color w:val="000000"/>
          <w:sz w:val="24"/>
          <w:szCs w:val="24"/>
          <w:lang w:eastAsia="zh-CN"/>
        </w:rPr>
        <w:t xml:space="preserve">，</w:t>
      </w:r>
      <w:r>
        <w:rPr>
          <w:rFonts w:hint="eastAsia" w:ascii="宋体" w:hAnsi="宋体"/>
          <w:color w:val="000000"/>
          <w:sz w:val="24"/>
          <w:szCs w:val="24"/>
        </w:rPr>
        <w:t xml:space="preserve">根据《政府采购促进中小企业发展管理办法》(财库[2020]46号)的规定</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p>
    <w:p>
      <w:pPr>
        <w:ind w:firstLine="360"/>
        <w:keepLines w:val="0"/>
        <w:keepNext w:val="0"/>
        <w:pageBreakBefore w:val="0"/>
        <w:spacing w:line="360" w:lineRule="auto"/>
        <w:widowControl w:val="off"/>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p>
    <w:p>
      <w:pPr>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p>
    <w:p>
      <w:pPr>
        <w:pStyle w:val="946"/>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588"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ind w:firstLine="480"/>
        <w:keepLines w:val="0"/>
        <w:keepNext w:val="0"/>
        <w:pageBreakBefore w:val="0"/>
        <w:spacing w:line="48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服务采购项目中，服务的承接商应当为中小企业，不对其中涉及的货物的制造商、工程的承建商作出要求。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000000"/>
          <w:sz w:val="32"/>
          <w:szCs w:val="32"/>
        </w:rPr>
      </w:pPr>
      <w:r>
        <w:rPr>
          <w:rFonts w:hint="eastAsia" w:ascii="黑体" w:hAnsi="黑体" w:eastAsia="黑体" w:cs="Times New Roman"/>
          <w:i w:val="0"/>
          <w:iCs w:val="0"/>
          <w:color w:val="00000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残疾人福利性单位声明函（服务）</w:t>
      </w:r>
      <w:r/>
    </w:p>
    <w:p>
      <w:pPr>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，服务全部由本单位提供。</w:t>
      </w:r>
      <w:r/>
    </w:p>
    <w:p>
      <w:pPr>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p>
    <w:p>
      <w:pPr>
        <w:pStyle w:val="946"/>
        <w:rPr>
          <w:rFonts w:hint="eastAsia" w:ascii="宋体" w:hAnsi="宋体"/>
          <w:color w:val="000000"/>
          <w:sz w:val="24"/>
          <w:szCs w:val="24"/>
          <w:lang w:eastAsia="zh-CN"/>
        </w:rPr>
      </w:pPr>
      <w:r>
        <w:rPr>
          <w:rFonts w:hint="eastAsia" w:ascii="宋体" w:hAnsi="宋体"/>
          <w:color w:val="000000"/>
          <w:sz w:val="24"/>
          <w:szCs w:val="24"/>
          <w:lang w:eastAsia="zh-CN"/>
        </w:rPr>
      </w:r>
      <w:r/>
    </w:p>
    <w:p>
      <w:pPr>
        <w:rPr>
          <w:rFonts w:hint="eastAsia"/>
          <w:color w:val="000000"/>
          <w:lang w:eastAsia="zh-CN"/>
        </w:rPr>
      </w:pPr>
      <w:r>
        <w:rPr>
          <w:rFonts w:hint="eastAsia"/>
          <w:color w:val="000000"/>
          <w:lang w:eastAsia="zh-CN"/>
        </w:rPr>
      </w:r>
      <w:r/>
    </w:p>
    <w:p>
      <w:pPr>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p>
    <w:p>
      <w:pPr>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color w:val="000000"/>
          <w:sz w:val="24"/>
        </w:rPr>
      </w:pPr>
      <w:r>
        <w:rPr>
          <w:rFonts w:hint="eastAsia" w:ascii="宋体" w:hAnsi="宋体"/>
          <w:color w:val="000000"/>
          <w:sz w:val="24"/>
        </w:rPr>
      </w:r>
      <w:r/>
    </w:p>
    <w:p>
      <w:pPr>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p>
    <w:p>
      <w:pPr>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p>
    <w:p>
      <w:pPr>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p>
    <w:p>
      <w:pPr>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ind w:firstLine="645"/>
        <w:spacing w:line="560" w:lineRule="exact"/>
        <w:rPr>
          <w:rFonts w:hint="eastAsia" w:ascii="宋体" w:hAnsi="宋体"/>
          <w:color w:val="000000"/>
          <w:sz w:val="24"/>
        </w:rPr>
      </w:pPr>
      <w:r>
        <w:rPr>
          <w:rFonts w:hint="eastAsia" w:ascii="宋体" w:hAnsi="宋体"/>
          <w:color w:val="000000"/>
          <w:sz w:val="24"/>
        </w:rPr>
      </w:r>
      <w:r/>
    </w:p>
    <w:p>
      <w:pPr>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p>
    <w:p>
      <w:pPr>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备</w:t>
      </w:r>
      <w:r>
        <w:rPr>
          <w:rFonts w:hint="eastAsia" w:ascii="宋体" w:hAnsi="宋体" w:eastAsia="宋体" w:cs="Times New Roman"/>
          <w:color w:val="000000"/>
          <w:sz w:val="24"/>
        </w:rPr>
        <w:t xml:space="preserve">注：</w:t>
      </w:r>
      <w:r/>
    </w:p>
    <w:p>
      <w:pPr>
        <w:ind w:firstLine="480"/>
        <w:spacing w:line="480" w:lineRule="exact"/>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p>
    <w:p>
      <w:pPr>
        <w:ind w:firstLine="480"/>
        <w:spacing w:line="480" w:lineRule="exact"/>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p>
    <w:p>
      <w:pPr>
        <w:ind w:firstLine="480"/>
        <w:spacing w:line="480" w:lineRule="exact"/>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p>
    <w:p>
      <w:pPr>
        <w:pStyle w:val="700"/>
        <w:rPr>
          <w:rFonts w:hint="eastAsia" w:ascii="宋体" w:hAnsi="宋体" w:eastAsia="宋体" w:cs="Times New Roman"/>
          <w:color w:val="000000"/>
          <w:sz w:val="24"/>
        </w:rPr>
      </w:pPr>
      <w:r>
        <w:rPr>
          <w:rFonts w:hint="eastAsia" w:ascii="宋体" w:hAnsi="宋体" w:eastAsia="宋体" w:cs="Times New Roman"/>
          <w:color w:val="000000"/>
          <w:sz w:val="24"/>
        </w:rPr>
      </w:r>
      <w:r/>
    </w:p>
    <w:p>
      <w:pPr>
        <w:rPr>
          <w:rFonts w:hint="eastAsia"/>
          <w:color w:val="000000"/>
        </w:rPr>
      </w:pPr>
      <w:r>
        <w:rPr>
          <w:rFonts w:hint="eastAsia"/>
          <w:color w:val="000000"/>
        </w:rPr>
      </w:r>
      <w:r/>
    </w:p>
    <w:p>
      <w:pPr>
        <w:ind w:firstLine="645"/>
        <w:spacing w:line="560" w:lineRule="exact"/>
        <w:rPr>
          <w:rFonts w:ascii="宋体" w:hAnsi="宋体"/>
          <w:color w:val="000000"/>
          <w:sz w:val="24"/>
        </w:rPr>
      </w:pPr>
      <w:r>
        <w:rPr>
          <w:rFonts w:ascii="宋体" w:hAnsi="宋体"/>
          <w:color w:val="000000"/>
          <w:sz w:val="24"/>
        </w:rPr>
      </w:r>
      <w:r/>
    </w:p>
    <w:p>
      <w:pPr>
        <w:numPr>
          <w:ilvl w:val="0"/>
          <w:numId w:val="0"/>
        </w:numPr>
        <w:jc w:val="left"/>
        <w:spacing w:line="360" w:lineRule="auto"/>
        <w:rPr>
          <w:rFonts w:hint="eastAsia" w:ascii="宋体" w:hAnsi="宋体" w:eastAsia="宋体" w:cs="Times New Roman"/>
          <w:color w:val="000000"/>
          <w:sz w:val="24"/>
          <w:lang w:val="en-US" w:eastAsia="zh-CN"/>
        </w:rPr>
      </w:pPr>
      <w:r>
        <w:rPr>
          <w:color w:val="000000"/>
        </w:rPr>
        <w:br w:type="page" w:clear="all"/>
      </w:r>
      <w:r>
        <w:rPr>
          <w:rFonts w:hint="eastAsia" w:ascii="黑体" w:hAnsi="黑体" w:eastAsia="黑体" w:cs="Times New Roman"/>
          <w:i w:val="0"/>
          <w:iCs w:val="0"/>
          <w:color w:val="000000"/>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3"/>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3"/>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3"/>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3"/>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3"/>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3"/>
          <w:color w:val="000000"/>
          <w:vertAlign w:val="superscript"/>
        </w:rPr>
        <w:t xml:space="preserve">6</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p>
    <w:p>
      <w:pPr>
        <w:pStyle w:val="93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p>
    <w:p>
      <w:pPr>
        <w:pStyle w:val="933"/>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00"/>
        <w:rPr>
          <w:color w:val="000000"/>
        </w:rPr>
      </w:pPr>
      <w:r>
        <w:rPr>
          <w:color w:val="000000"/>
        </w:rPr>
        <w:br w:type="page" w:clear="all"/>
      </w:r>
      <w:r/>
    </w:p>
    <w:p>
      <w:pPr>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p>
    <w:p>
      <w:pPr>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p>
    <w:p>
      <w:pPr>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p>
    <w:p>
      <w:pPr>
        <w:ind w:firstLine="480"/>
        <w:spacing w:line="480" w:lineRule="exact"/>
        <w:rPr>
          <w:rFonts w:hint="eastAsia" w:ascii="宋体" w:hAnsi="宋体" w:eastAsia="宋体" w:cs="仿宋"/>
          <w:b/>
          <w:bCs/>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由质疑供应商法定代表人或主要负责人签署的《授权委托书》</w:t>
      </w:r>
      <w:r>
        <w:rPr>
          <w:rFonts w:hint="eastAsia" w:ascii="宋体" w:hAnsi="宋体" w:eastAsia="宋体" w:cs="仿宋"/>
          <w:b/>
          <w:bCs/>
          <w:color w:val="000000"/>
          <w:sz w:val="24"/>
          <w:szCs w:val="24"/>
          <w:highlight w:val="none"/>
        </w:rPr>
        <w:t xml:space="preserve">。</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p>
    <w:p>
      <w:pPr>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1"/>
        <w:rFonts w:ascii="宋体" w:hAnsi="宋体"/>
      </w:rPr>
      <w:framePr w:wrap="around" w:vAnchor="text" w:hAnchor="margin" w:xAlign="center" w:y="1"/>
    </w:pPr>
    <w:r>
      <w:rPr>
        <w:rFonts w:ascii="宋体" w:hAnsi="宋体"/>
      </w:rPr>
      <w:fldChar w:fldCharType="begin"/>
    </w:r>
    <w:r>
      <w:rPr>
        <w:rStyle w:val="941"/>
        <w:rFonts w:ascii="宋体" w:hAnsi="宋体"/>
      </w:rPr>
      <w:instrText xml:space="preserve">PAGE  </w:instrText>
    </w:r>
    <w:r>
      <w:rPr>
        <w:rFonts w:ascii="宋体" w:hAnsi="宋体"/>
      </w:rPr>
      <w:fldChar w:fldCharType="separate"/>
    </w:r>
    <w:r>
      <w:rPr>
        <w:rStyle w:val="941"/>
        <w:rFonts w:ascii="宋体" w:hAnsi="宋体"/>
      </w:rPr>
      <w:t xml:space="preserve">２８</w:t>
    </w:r>
    <w:r>
      <w:rPr>
        <w:rFonts w:ascii="宋体" w:hAnsi="宋体"/>
      </w:rPr>
      <w:fldChar w:fldCharType="end"/>
    </w:r>
    <w:r/>
  </w:p>
  <w:p>
    <w:pPr>
      <w:pStyle w:val="91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41"/>
      </w:rPr>
      <w:framePr w:wrap="around" w:vAnchor="text" w:hAnchor="margin" w:xAlign="center" w:y="1"/>
    </w:pPr>
    <w:r>
      <w:fldChar w:fldCharType="begin"/>
    </w:r>
    <w:r>
      <w:rPr>
        <w:rStyle w:val="941"/>
      </w:rPr>
      <w:instrText xml:space="preserve">PAGE  </w:instrText>
    </w:r>
    <w:r>
      <w:fldChar w:fldCharType="separate"/>
    </w:r>
    <w:r>
      <w:rPr>
        <w:rStyle w:val="941"/>
      </w:rPr>
      <w:t xml:space="preserve">1</w:t>
    </w:r>
    <w:r>
      <w:fldChar w:fldCharType="end"/>
    </w:r>
    <w:r/>
  </w:p>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8"/>
      <w:isLgl w:val="false"/>
      <w:suff w:val="nothing"/>
      <w:lvlText w:val=""/>
      <w:lvlJc w:val="left"/>
      <w:pPr>
        <w:ind w:left="0" w:firstLine="0"/>
      </w:pPr>
      <w:rPr>
        <w:rFonts w:hint="eastAsia"/>
      </w:rPr>
    </w:lvl>
    <w:lvl w:ilvl="6">
      <w:start w:val="1"/>
      <w:numFmt w:val="decimal"/>
      <w:pStyle w:val="879"/>
      <w:isLgl w:val="false"/>
      <w:suff w:val="nothing"/>
      <w:lvlText w:val=""/>
      <w:lvlJc w:val="left"/>
      <w:pPr>
        <w:ind w:left="0" w:firstLine="0"/>
      </w:pPr>
      <w:rPr>
        <w:rFonts w:hint="eastAsia"/>
      </w:rPr>
    </w:lvl>
    <w:lvl w:ilvl="7">
      <w:start w:val="1"/>
      <w:numFmt w:val="decimal"/>
      <w:pStyle w:val="880"/>
      <w:isLgl w:val="false"/>
      <w:suff w:val="nothing"/>
      <w:lvlText w:val=""/>
      <w:lvlJc w:val="left"/>
      <w:pPr>
        <w:ind w:left="0" w:firstLine="0"/>
      </w:pPr>
      <w:rPr>
        <w:rFonts w:hint="eastAsia"/>
      </w:rPr>
    </w:lvl>
    <w:lvl w:ilvl="8">
      <w:start w:val="1"/>
      <w:numFmt w:val="decimal"/>
      <w:pStyle w:val="881"/>
      <w:isLgl w:val="false"/>
      <w:suff w:val="nothing"/>
      <w:lvlText w:val=""/>
      <w:lvlJc w:val="left"/>
      <w:pPr>
        <w:ind w:left="0" w:firstLine="0"/>
      </w:pPr>
      <w:rPr>
        <w:rFonts w:hint="eastAsia"/>
      </w:rPr>
    </w:lvl>
  </w:abstractNum>
  <w:abstractNum w:abstractNumId="3">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4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2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2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2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2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正文首行缩进 21"/>
    <w:basedOn w:val="701"/>
    <w:next w:val="688"/>
    <w:link w:val="885"/>
    <w:uiPriority w:val="0"/>
    <w:qFormat/>
    <w:pPr>
      <w:ind w:left="0" w:firstLine="420"/>
      <w:spacing w:after="0" w:line="360" w:lineRule="auto"/>
    </w:pPr>
    <w:rPr>
      <w:rFonts w:ascii="宋体" w:hAnsi="宋体" w:eastAsia="宋体" w:cs="Times New Roman"/>
      <w:szCs w:val="20"/>
    </w:rPr>
  </w:style>
  <w:style w:type="paragraph" w:styleId="701" w:customStyle="1">
    <w:name w:val="正文文本缩进1"/>
    <w:basedOn w:val="688"/>
    <w:next w:val="702"/>
    <w:link w:val="884"/>
    <w:uiPriority w:val="0"/>
    <w:unhideWhenUsed/>
    <w:qFormat/>
    <w:pPr>
      <w:ind w:left="420"/>
      <w:spacing w:after="120"/>
    </w:pPr>
  </w:style>
  <w:style w:type="paragraph" w:styleId="702" w:customStyle="1">
    <w:name w:val="寄信人地址1"/>
    <w:basedOn w:val="688"/>
    <w:uiPriority w:val="0"/>
    <w:qFormat/>
    <w:rPr>
      <w:rFonts w:ascii="Arial" w:hAnsi="Arial" w:eastAsia="宋体" w:cs="宋体"/>
    </w:rPr>
  </w:style>
  <w:style w:type="paragraph" w:styleId="703">
    <w:name w:val="toc 7"/>
    <w:basedOn w:val="688"/>
    <w:next w:val="688"/>
    <w:uiPriority w:val="39"/>
    <w:unhideWhenUsed/>
    <w:qFormat/>
    <w:pPr>
      <w:ind w:left="1701" w:right="0" w:firstLine="0"/>
      <w:spacing w:after="57"/>
    </w:pPr>
  </w:style>
  <w:style w:type="paragraph" w:styleId="704">
    <w:name w:val="Caption"/>
    <w:basedOn w:val="688"/>
    <w:next w:val="688"/>
    <w:uiPriority w:val="35"/>
    <w:semiHidden/>
    <w:unhideWhenUsed/>
    <w:qFormat/>
    <w:pPr>
      <w:spacing w:line="276" w:lineRule="auto"/>
    </w:pPr>
    <w:rPr>
      <w:b/>
      <w:bCs/>
      <w:color w:val="4f81bd" w:themeColor="accent1"/>
      <w:sz w:val="18"/>
      <w:szCs w:val="18"/>
    </w:rPr>
  </w:style>
  <w:style w:type="paragraph" w:styleId="705">
    <w:name w:val="toc 5"/>
    <w:basedOn w:val="688"/>
    <w:next w:val="688"/>
    <w:uiPriority w:val="39"/>
    <w:unhideWhenUsed/>
    <w:qFormat/>
    <w:pPr>
      <w:ind w:left="1134" w:right="0" w:firstLine="0"/>
      <w:spacing w:after="57"/>
    </w:pPr>
  </w:style>
  <w:style w:type="paragraph" w:styleId="706">
    <w:name w:val="toc 3"/>
    <w:basedOn w:val="688"/>
    <w:next w:val="688"/>
    <w:uiPriority w:val="39"/>
    <w:unhideWhenUsed/>
    <w:qFormat/>
    <w:pPr>
      <w:ind w:left="567" w:right="0" w:firstLine="0"/>
      <w:spacing w:after="57"/>
    </w:pPr>
  </w:style>
  <w:style w:type="paragraph" w:styleId="707">
    <w:name w:val="toc 8"/>
    <w:basedOn w:val="688"/>
    <w:next w:val="688"/>
    <w:uiPriority w:val="39"/>
    <w:unhideWhenUsed/>
    <w:qFormat/>
    <w:pPr>
      <w:ind w:left="1984" w:right="0" w:firstLine="0"/>
      <w:spacing w:after="57"/>
    </w:pPr>
  </w:style>
  <w:style w:type="paragraph" w:styleId="708">
    <w:name w:val="endnote text"/>
    <w:basedOn w:val="688"/>
    <w:link w:val="870"/>
    <w:uiPriority w:val="99"/>
    <w:semiHidden/>
    <w:unhideWhenUsed/>
    <w:qFormat/>
    <w:pPr>
      <w:spacing w:after="0" w:line="240" w:lineRule="auto"/>
    </w:pPr>
    <w:rPr>
      <w:sz w:val="20"/>
    </w:rPr>
  </w:style>
  <w:style w:type="paragraph" w:styleId="709">
    <w:name w:val="Footer"/>
    <w:basedOn w:val="688"/>
    <w:link w:val="743"/>
    <w:uiPriority w:val="99"/>
    <w:unhideWhenUsed/>
    <w:pPr>
      <w:spacing w:after="0" w:line="240" w:lineRule="auto"/>
      <w:tabs>
        <w:tab w:val="center" w:pos="7143" w:leader="none"/>
        <w:tab w:val="right" w:pos="14287" w:leader="none"/>
      </w:tabs>
    </w:pPr>
  </w:style>
  <w:style w:type="paragraph" w:styleId="710">
    <w:name w:val="Header"/>
    <w:basedOn w:val="688"/>
    <w:link w:val="741"/>
    <w:uiPriority w:val="99"/>
    <w:unhideWhenUsed/>
    <w:pPr>
      <w:spacing w:after="0" w:line="240" w:lineRule="auto"/>
      <w:tabs>
        <w:tab w:val="center" w:pos="7143" w:leader="none"/>
        <w:tab w:val="right" w:pos="14287" w:leader="none"/>
      </w:tabs>
    </w:pPr>
  </w:style>
  <w:style w:type="paragraph" w:styleId="711">
    <w:name w:val="toc 1"/>
    <w:basedOn w:val="688"/>
    <w:next w:val="688"/>
    <w:uiPriority w:val="39"/>
    <w:unhideWhenUsed/>
    <w:qFormat/>
    <w:pPr>
      <w:ind w:left="0" w:right="0" w:firstLine="0"/>
      <w:spacing w:after="57"/>
    </w:pPr>
  </w:style>
  <w:style w:type="paragraph" w:styleId="712">
    <w:name w:val="toc 4"/>
    <w:basedOn w:val="688"/>
    <w:next w:val="688"/>
    <w:uiPriority w:val="39"/>
    <w:unhideWhenUsed/>
    <w:qFormat/>
    <w:pPr>
      <w:ind w:left="850" w:right="0" w:firstLine="0"/>
      <w:spacing w:after="57"/>
    </w:pPr>
  </w:style>
  <w:style w:type="paragraph" w:styleId="713">
    <w:name w:val="Subtitle"/>
    <w:basedOn w:val="688"/>
    <w:next w:val="688"/>
    <w:link w:val="736"/>
    <w:uiPriority w:val="11"/>
    <w:qFormat/>
    <w:pPr>
      <w:spacing w:before="200" w:after="200"/>
    </w:pPr>
    <w:rPr>
      <w:sz w:val="24"/>
      <w:szCs w:val="24"/>
    </w:rPr>
  </w:style>
  <w:style w:type="paragraph" w:styleId="714">
    <w:name w:val="footnote text"/>
    <w:basedOn w:val="688"/>
    <w:link w:val="869"/>
    <w:uiPriority w:val="99"/>
    <w:semiHidden/>
    <w:unhideWhenUsed/>
    <w:qFormat/>
    <w:pPr>
      <w:spacing w:after="40" w:line="240" w:lineRule="auto"/>
    </w:pPr>
    <w:rPr>
      <w:sz w:val="18"/>
    </w:rPr>
  </w:style>
  <w:style w:type="paragraph" w:styleId="715">
    <w:name w:val="toc 6"/>
    <w:basedOn w:val="688"/>
    <w:next w:val="688"/>
    <w:uiPriority w:val="39"/>
    <w:unhideWhenUsed/>
    <w:qFormat/>
    <w:pPr>
      <w:ind w:left="1417" w:right="0" w:firstLine="0"/>
      <w:spacing w:after="57"/>
    </w:pPr>
  </w:style>
  <w:style w:type="paragraph" w:styleId="716">
    <w:name w:val="table of figures"/>
    <w:basedOn w:val="688"/>
    <w:next w:val="688"/>
    <w:uiPriority w:val="99"/>
    <w:unhideWhenUsed/>
    <w:qFormat/>
    <w:pPr>
      <w:spacing w:after="0" w:afterAutospacing="0"/>
    </w:pPr>
  </w:style>
  <w:style w:type="paragraph" w:styleId="717">
    <w:name w:val="toc 2"/>
    <w:basedOn w:val="688"/>
    <w:next w:val="688"/>
    <w:uiPriority w:val="39"/>
    <w:unhideWhenUsed/>
    <w:qFormat/>
    <w:pPr>
      <w:ind w:left="283" w:right="0" w:firstLine="0"/>
      <w:spacing w:after="57"/>
    </w:pPr>
  </w:style>
  <w:style w:type="paragraph" w:styleId="718">
    <w:name w:val="toc 9"/>
    <w:basedOn w:val="688"/>
    <w:next w:val="688"/>
    <w:uiPriority w:val="39"/>
    <w:unhideWhenUsed/>
    <w:qFormat/>
    <w:pPr>
      <w:ind w:left="2268" w:right="0" w:firstLine="0"/>
      <w:spacing w:after="57"/>
    </w:pPr>
  </w:style>
  <w:style w:type="paragraph" w:styleId="719">
    <w:name w:val="Title"/>
    <w:basedOn w:val="688"/>
    <w:next w:val="688"/>
    <w:link w:val="735"/>
    <w:uiPriority w:val="10"/>
    <w:qFormat/>
    <w:pPr>
      <w:contextualSpacing/>
      <w:spacing w:before="300" w:after="200"/>
    </w:pPr>
    <w:rPr>
      <w:sz w:val="48"/>
      <w:szCs w:val="48"/>
    </w:rPr>
  </w:style>
  <w:style w:type="table" w:styleId="720">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uiPriority w:val="99"/>
    <w:semiHidden/>
    <w:unhideWhenUsed/>
    <w:qFormat/>
    <w:rPr>
      <w:vertAlign w:val="superscript"/>
    </w:rPr>
  </w:style>
  <w:style w:type="character" w:styleId="722">
    <w:name w:val="Hyperlink"/>
    <w:uiPriority w:val="99"/>
    <w:unhideWhenUsed/>
    <w:qFormat/>
    <w:rPr>
      <w:color w:val="0000ff" w:themeColor="hyperlink"/>
      <w:u w:val="single"/>
    </w:rPr>
  </w:style>
  <w:style w:type="character" w:styleId="723">
    <w:name w:val="footnote reference"/>
    <w:uiPriority w:val="99"/>
    <w:unhideWhenUsed/>
    <w:qFormat/>
    <w:rPr>
      <w:vertAlign w:val="superscript"/>
    </w:rPr>
  </w:style>
  <w:style w:type="character" w:styleId="724" w:customStyle="1">
    <w:name w:val="Heading 1 Char"/>
    <w:link w:val="689"/>
    <w:uiPriority w:val="9"/>
    <w:rPr>
      <w:rFonts w:ascii="Arial" w:hAnsi="Arial" w:eastAsia="Arial" w:cs="Arial"/>
      <w:sz w:val="40"/>
      <w:szCs w:val="40"/>
    </w:rPr>
  </w:style>
  <w:style w:type="character" w:styleId="725" w:customStyle="1">
    <w:name w:val="Heading 2 Char"/>
    <w:link w:val="690"/>
    <w:uiPriority w:val="9"/>
    <w:rPr>
      <w:rFonts w:ascii="Arial" w:hAnsi="Arial" w:eastAsia="Arial" w:cs="Arial"/>
      <w:sz w:val="34"/>
    </w:rPr>
  </w:style>
  <w:style w:type="character" w:styleId="726" w:customStyle="1">
    <w:name w:val="Heading 3 Char"/>
    <w:link w:val="691"/>
    <w:uiPriority w:val="9"/>
    <w:rPr>
      <w:rFonts w:ascii="Arial" w:hAnsi="Arial" w:eastAsia="Arial" w:cs="Arial"/>
      <w:sz w:val="30"/>
      <w:szCs w:val="30"/>
    </w:rPr>
  </w:style>
  <w:style w:type="character" w:styleId="727" w:customStyle="1">
    <w:name w:val="Heading 4 Char"/>
    <w:link w:val="692"/>
    <w:uiPriority w:val="9"/>
    <w:rPr>
      <w:rFonts w:ascii="Arial" w:hAnsi="Arial" w:eastAsia="Arial" w:cs="Arial"/>
      <w:b/>
      <w:bCs/>
      <w:sz w:val="26"/>
      <w:szCs w:val="26"/>
    </w:rPr>
  </w:style>
  <w:style w:type="character" w:styleId="728" w:customStyle="1">
    <w:name w:val="Heading 5 Char"/>
    <w:link w:val="693"/>
    <w:uiPriority w:val="9"/>
    <w:rPr>
      <w:rFonts w:ascii="Arial" w:hAnsi="Arial" w:eastAsia="Arial" w:cs="Arial"/>
      <w:b/>
      <w:bCs/>
      <w:sz w:val="24"/>
      <w:szCs w:val="24"/>
    </w:rPr>
  </w:style>
  <w:style w:type="character" w:styleId="729" w:customStyle="1">
    <w:name w:val="Heading 6 Char"/>
    <w:link w:val="694"/>
    <w:uiPriority w:val="9"/>
    <w:rPr>
      <w:rFonts w:ascii="Arial" w:hAnsi="Arial" w:eastAsia="Arial" w:cs="Arial"/>
      <w:b/>
      <w:bCs/>
      <w:sz w:val="22"/>
      <w:szCs w:val="22"/>
    </w:rPr>
  </w:style>
  <w:style w:type="character" w:styleId="730" w:customStyle="1">
    <w:name w:val="Heading 7 Char"/>
    <w:link w:val="695"/>
    <w:uiPriority w:val="9"/>
    <w:rPr>
      <w:rFonts w:ascii="Arial" w:hAnsi="Arial" w:eastAsia="Arial" w:cs="Arial"/>
      <w:b/>
      <w:bCs/>
      <w:i/>
      <w:iCs/>
      <w:sz w:val="22"/>
      <w:szCs w:val="22"/>
    </w:rPr>
  </w:style>
  <w:style w:type="character" w:styleId="731" w:customStyle="1">
    <w:name w:val="Heading 8 Char"/>
    <w:link w:val="696"/>
    <w:uiPriority w:val="9"/>
    <w:rPr>
      <w:rFonts w:ascii="Arial" w:hAnsi="Arial" w:eastAsia="Arial" w:cs="Arial"/>
      <w:i/>
      <w:iCs/>
      <w:sz w:val="22"/>
      <w:szCs w:val="22"/>
    </w:rPr>
  </w:style>
  <w:style w:type="character" w:styleId="732" w:customStyle="1">
    <w:name w:val="Heading 9 Char"/>
    <w:link w:val="697"/>
    <w:uiPriority w:val="9"/>
    <w:rPr>
      <w:rFonts w:ascii="Arial" w:hAnsi="Arial" w:eastAsia="Arial" w:cs="Arial"/>
      <w:i/>
      <w:iCs/>
      <w:sz w:val="21"/>
      <w:szCs w:val="21"/>
    </w:rPr>
  </w:style>
  <w:style w:type="paragraph" w:styleId="733">
    <w:name w:val="List Paragraph"/>
    <w:basedOn w:val="688"/>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19"/>
    <w:uiPriority w:val="10"/>
    <w:rPr>
      <w:sz w:val="48"/>
      <w:szCs w:val="48"/>
    </w:rPr>
  </w:style>
  <w:style w:type="character" w:styleId="736" w:customStyle="1">
    <w:name w:val="Subtitle Char"/>
    <w:link w:val="713"/>
    <w:uiPriority w:val="11"/>
    <w:rPr>
      <w:sz w:val="24"/>
      <w:szCs w:val="24"/>
    </w:rPr>
  </w:style>
  <w:style w:type="paragraph" w:styleId="737">
    <w:name w:val="Quote"/>
    <w:basedOn w:val="688"/>
    <w:next w:val="688"/>
    <w:link w:val="738"/>
    <w:uiPriority w:val="29"/>
    <w:qFormat/>
    <w:pPr>
      <w:ind w:left="720" w:right="720"/>
    </w:pPr>
    <w:rPr>
      <w:i/>
    </w:rPr>
  </w:style>
  <w:style w:type="character" w:styleId="738" w:customStyle="1">
    <w:name w:val="Quote Char"/>
    <w:link w:val="737"/>
    <w:uiPriority w:val="29"/>
    <w:rPr>
      <w:i/>
    </w:rPr>
  </w:style>
  <w:style w:type="paragraph" w:styleId="739">
    <w:name w:val="Intense Quote"/>
    <w:basedOn w:val="688"/>
    <w:next w:val="688"/>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rPr>
      <w:i/>
    </w:rPr>
  </w:style>
  <w:style w:type="character" w:styleId="741" w:customStyle="1">
    <w:name w:val="Header Char"/>
    <w:link w:val="710"/>
    <w:uiPriority w:val="99"/>
  </w:style>
  <w:style w:type="character" w:styleId="742" w:customStyle="1">
    <w:name w:val="Footer Char"/>
    <w:link w:val="709"/>
    <w:uiPriority w:val="99"/>
  </w:style>
  <w:style w:type="character" w:styleId="743" w:customStyle="1">
    <w:name w:val="Caption Char"/>
    <w:link w:val="709"/>
    <w:uiPriority w:val="99"/>
  </w:style>
  <w:style w:type="table" w:styleId="744"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8"/>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
    <w:basedOn w:val="688"/>
    <w:next w:val="688"/>
    <w:link w:val="886"/>
    <w:uiPriority w:val="0"/>
    <w:qFormat/>
    <w:pPr>
      <w:jc w:val="center"/>
      <w:keepNext/>
      <w:outlineLvl w:val="0"/>
    </w:pPr>
    <w:rPr>
      <w:rFonts w:ascii="楷体_GB2312" w:hAnsi="Times New Roman" w:eastAsia="楷体_GB2312" w:cs="Times New Roman"/>
      <w:sz w:val="28"/>
      <w:szCs w:val="28"/>
    </w:rPr>
  </w:style>
  <w:style w:type="paragraph" w:styleId="873" w:customStyle="1">
    <w:name w:val="标题 21"/>
    <w:basedOn w:val="688"/>
    <w:next w:val="688"/>
    <w:link w:val="8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4" w:customStyle="1">
    <w:name w:val="标题 31"/>
    <w:basedOn w:val="688"/>
    <w:next w:val="875"/>
    <w:link w:val="88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customStyle="1">
    <w:name w:val="正文缩进1"/>
    <w:basedOn w:val="688"/>
    <w:link w:val="889"/>
    <w:uiPriority w:val="0"/>
    <w:qFormat/>
    <w:pPr>
      <w:ind w:firstLine="420"/>
    </w:pPr>
    <w:rPr>
      <w:szCs w:val="21"/>
    </w:rPr>
  </w:style>
  <w:style w:type="paragraph" w:styleId="876" w:customStyle="1">
    <w:name w:val="标题 41"/>
    <w:basedOn w:val="688"/>
    <w:next w:val="875"/>
    <w:link w:val="890"/>
    <w:uiPriority w:val="0"/>
    <w:qFormat/>
    <w:pPr>
      <w:keepLines/>
      <w:keepNext/>
      <w:spacing w:before="280" w:after="290" w:line="376" w:lineRule="auto"/>
      <w:outlineLvl w:val="3"/>
    </w:pPr>
    <w:rPr>
      <w:rFonts w:ascii="Arial" w:hAnsi="Arial" w:eastAsia="黑体" w:cs="Arial"/>
      <w:b/>
      <w:bCs/>
      <w:sz w:val="28"/>
      <w:szCs w:val="28"/>
    </w:rPr>
  </w:style>
  <w:style w:type="paragraph" w:styleId="877" w:customStyle="1">
    <w:name w:val="标题 51"/>
    <w:basedOn w:val="688"/>
    <w:next w:val="875"/>
    <w:link w:val="891"/>
    <w:uiPriority w:val="0"/>
    <w:qFormat/>
    <w:pPr>
      <w:keepNext/>
      <w:outlineLvl w:val="4"/>
    </w:pPr>
    <w:rPr>
      <w:rFonts w:ascii="宋体" w:hAnsi="Times New Roman" w:eastAsia="宋体" w:cs="Times New Roman"/>
      <w:color w:val="000000"/>
      <w:sz w:val="28"/>
      <w:szCs w:val="28"/>
    </w:rPr>
  </w:style>
  <w:style w:type="paragraph" w:styleId="878" w:customStyle="1">
    <w:name w:val="标题 61"/>
    <w:basedOn w:val="688"/>
    <w:next w:val="688"/>
    <w:link w:val="89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9" w:customStyle="1">
    <w:name w:val="标题 71"/>
    <w:basedOn w:val="688"/>
    <w:next w:val="688"/>
    <w:link w:val="89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0" w:customStyle="1">
    <w:name w:val="标题 81"/>
    <w:basedOn w:val="688"/>
    <w:next w:val="688"/>
    <w:link w:val="89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1" w:customStyle="1">
    <w:name w:val="标题 91"/>
    <w:basedOn w:val="688"/>
    <w:next w:val="688"/>
    <w:link w:val="89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2" w:customStyle="1">
    <w:name w:val="默认段落字体1"/>
    <w:link w:val="688"/>
    <w:uiPriority w:val="1"/>
    <w:unhideWhenUsed/>
    <w:qFormat/>
  </w:style>
  <w:style w:type="table" w:styleId="883" w:customStyle="1">
    <w:name w:val="普通表格11"/>
    <w:uiPriority w:val="99"/>
    <w:unhideWhenUsed/>
    <w:qFormat/>
    <w:tblPr/>
  </w:style>
  <w:style w:type="character" w:styleId="884" w:customStyle="1">
    <w:name w:val="正文文本缩进 Char"/>
    <w:basedOn w:val="882"/>
    <w:link w:val="701"/>
    <w:uiPriority w:val="99"/>
    <w:semiHidden/>
    <w:qFormat/>
  </w:style>
  <w:style w:type="character" w:styleId="885" w:customStyle="1">
    <w:name w:val="正文首行缩进 2 Char"/>
    <w:link w:val="700"/>
    <w:uiPriority w:val="0"/>
    <w:qFormat/>
    <w:rPr>
      <w:rFonts w:ascii="宋体" w:hAnsi="宋体" w:eastAsia="宋体" w:cs="Times New Roman"/>
      <w:szCs w:val="20"/>
    </w:rPr>
  </w:style>
  <w:style w:type="character" w:styleId="886" w:customStyle="1">
    <w:name w:val="标题 1 Char"/>
    <w:link w:val="872"/>
    <w:uiPriority w:val="0"/>
    <w:qFormat/>
    <w:rPr>
      <w:rFonts w:ascii="楷体_GB2312" w:hAnsi="Times New Roman" w:eastAsia="楷体_GB2312" w:cs="Times New Roman"/>
      <w:sz w:val="28"/>
      <w:szCs w:val="28"/>
    </w:rPr>
  </w:style>
  <w:style w:type="character" w:styleId="887" w:customStyle="1">
    <w:name w:val="标题 2 Char"/>
    <w:link w:val="873"/>
    <w:uiPriority w:val="0"/>
    <w:qFormat/>
    <w:rPr>
      <w:rFonts w:ascii="Arial" w:hAnsi="Arial" w:eastAsia="幼圆" w:cs="Arial"/>
      <w:b/>
      <w:bCs/>
      <w:sz w:val="44"/>
      <w:szCs w:val="44"/>
    </w:rPr>
  </w:style>
  <w:style w:type="character" w:styleId="888" w:customStyle="1">
    <w:name w:val="标题 3 Char"/>
    <w:link w:val="874"/>
    <w:uiPriority w:val="0"/>
    <w:qFormat/>
    <w:rPr>
      <w:rFonts w:ascii="Times New Roman" w:hAnsi="Times New Roman" w:eastAsia="宋体" w:cs="Times New Roman"/>
      <w:b/>
      <w:bCs/>
      <w:sz w:val="32"/>
      <w:szCs w:val="32"/>
    </w:rPr>
  </w:style>
  <w:style w:type="character" w:styleId="889" w:customStyle="1">
    <w:name w:val="正文缩进 Char"/>
    <w:link w:val="875"/>
    <w:uiPriority w:val="0"/>
    <w:qFormat/>
    <w:rPr>
      <w:szCs w:val="21"/>
    </w:rPr>
  </w:style>
  <w:style w:type="character" w:styleId="890" w:customStyle="1">
    <w:name w:val="标题 4 Char"/>
    <w:link w:val="876"/>
    <w:uiPriority w:val="0"/>
    <w:qFormat/>
    <w:rPr>
      <w:rFonts w:ascii="Arial" w:hAnsi="Arial" w:eastAsia="黑体" w:cs="Arial"/>
      <w:b/>
      <w:bCs/>
      <w:sz w:val="28"/>
      <w:szCs w:val="28"/>
    </w:rPr>
  </w:style>
  <w:style w:type="character" w:styleId="891" w:customStyle="1">
    <w:name w:val="标题 5 Char"/>
    <w:link w:val="877"/>
    <w:uiPriority w:val="0"/>
    <w:qFormat/>
    <w:rPr>
      <w:rFonts w:ascii="宋体" w:hAnsi="Times New Roman" w:eastAsia="宋体" w:cs="Times New Roman"/>
      <w:color w:val="000000"/>
      <w:sz w:val="28"/>
      <w:szCs w:val="28"/>
    </w:rPr>
  </w:style>
  <w:style w:type="character" w:styleId="892" w:customStyle="1">
    <w:name w:val="标题 6 Char"/>
    <w:link w:val="878"/>
    <w:uiPriority w:val="0"/>
    <w:qFormat/>
    <w:rPr>
      <w:rFonts w:ascii="Arial" w:hAnsi="Arial" w:eastAsia="黑体" w:cs="Times New Roman"/>
      <w:b/>
      <w:bCs/>
      <w:sz w:val="24"/>
      <w:szCs w:val="24"/>
    </w:rPr>
  </w:style>
  <w:style w:type="character" w:styleId="893" w:customStyle="1">
    <w:name w:val="标题 7 Char"/>
    <w:link w:val="879"/>
    <w:uiPriority w:val="0"/>
    <w:qFormat/>
    <w:rPr>
      <w:rFonts w:ascii="Times New Roman" w:hAnsi="Times New Roman" w:eastAsia="宋体" w:cs="Times New Roman"/>
      <w:b/>
      <w:bCs/>
      <w:sz w:val="24"/>
      <w:szCs w:val="24"/>
    </w:rPr>
  </w:style>
  <w:style w:type="character" w:styleId="894" w:customStyle="1">
    <w:name w:val="标题 8 Char"/>
    <w:link w:val="880"/>
    <w:uiPriority w:val="0"/>
    <w:qFormat/>
    <w:rPr>
      <w:rFonts w:ascii="Arial" w:hAnsi="Arial" w:eastAsia="黑体" w:cs="Times New Roman"/>
      <w:sz w:val="24"/>
      <w:szCs w:val="24"/>
    </w:rPr>
  </w:style>
  <w:style w:type="character" w:styleId="895" w:customStyle="1">
    <w:name w:val="标题 9 Char"/>
    <w:link w:val="881"/>
    <w:uiPriority w:val="0"/>
    <w:qFormat/>
    <w:rPr>
      <w:rFonts w:ascii="Arial" w:hAnsi="Arial" w:eastAsia="黑体" w:cs="Times New Roman"/>
      <w:szCs w:val="21"/>
    </w:rPr>
  </w:style>
  <w:style w:type="paragraph" w:styleId="896" w:customStyle="1">
    <w:name w:val="列表 31"/>
    <w:basedOn w:val="688"/>
    <w:uiPriority w:val="0"/>
    <w:qFormat/>
    <w:pPr>
      <w:ind w:left="100" w:hanging="200"/>
    </w:pPr>
    <w:rPr>
      <w:rFonts w:ascii="Times New Roman" w:hAnsi="Times New Roman" w:eastAsia="宋体" w:cs="Times New Roman"/>
      <w:szCs w:val="21"/>
    </w:rPr>
  </w:style>
  <w:style w:type="paragraph" w:styleId="897"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898" w:customStyle="1">
    <w:name w:val="文档结构图1"/>
    <w:basedOn w:val="688"/>
    <w:link w:val="899"/>
    <w:uiPriority w:val="0"/>
    <w:semiHidden/>
    <w:qFormat/>
    <w:pPr>
      <w:shd w:val="clear" w:color="auto" w:fill="000080"/>
    </w:pPr>
    <w:rPr>
      <w:rFonts w:ascii="Times New Roman" w:hAnsi="Times New Roman" w:eastAsia="宋体" w:cs="Times New Roman"/>
      <w:szCs w:val="21"/>
    </w:rPr>
  </w:style>
  <w:style w:type="character" w:styleId="899" w:customStyle="1">
    <w:name w:val="文档结构图 Char"/>
    <w:link w:val="898"/>
    <w:uiPriority w:val="0"/>
    <w:semiHidden/>
    <w:qFormat/>
    <w:rPr>
      <w:rFonts w:ascii="Times New Roman" w:hAnsi="Times New Roman" w:eastAsia="宋体" w:cs="Times New Roman"/>
      <w:szCs w:val="21"/>
      <w:shd w:val="clear" w:color="auto" w:fill="000080"/>
    </w:rPr>
  </w:style>
  <w:style w:type="paragraph" w:styleId="900" w:customStyle="1">
    <w:name w:val="批注文字1"/>
    <w:basedOn w:val="688"/>
    <w:link w:val="901"/>
    <w:uiPriority w:val="0"/>
    <w:unhideWhenUsed/>
    <w:qFormat/>
    <w:pPr>
      <w:jc w:val="left"/>
    </w:pPr>
  </w:style>
  <w:style w:type="character" w:styleId="901" w:customStyle="1">
    <w:name w:val="批注文字 Char"/>
    <w:basedOn w:val="882"/>
    <w:link w:val="900"/>
    <w:uiPriority w:val="99"/>
    <w:semiHidden/>
    <w:qFormat/>
  </w:style>
  <w:style w:type="paragraph" w:styleId="902" w:customStyle="1">
    <w:name w:val="正文文本 31"/>
    <w:basedOn w:val="688"/>
    <w:link w:val="903"/>
    <w:uiPriority w:val="0"/>
    <w:qFormat/>
    <w:rPr>
      <w:rFonts w:ascii="仿宋_GB2312" w:hAnsi="Arial" w:eastAsia="仿宋_GB2312" w:cs="Times New Roman"/>
      <w:sz w:val="32"/>
      <w:szCs w:val="32"/>
    </w:rPr>
  </w:style>
  <w:style w:type="character" w:styleId="903" w:customStyle="1">
    <w:name w:val="正文文本 3 Char"/>
    <w:link w:val="902"/>
    <w:uiPriority w:val="0"/>
    <w:qFormat/>
    <w:rPr>
      <w:rFonts w:ascii="仿宋_GB2312" w:hAnsi="Arial" w:eastAsia="仿宋_GB2312" w:cs="Times New Roman"/>
      <w:sz w:val="32"/>
      <w:szCs w:val="32"/>
    </w:rPr>
  </w:style>
  <w:style w:type="paragraph" w:styleId="904" w:customStyle="1">
    <w:name w:val="正文文本1"/>
    <w:basedOn w:val="688"/>
    <w:link w:val="905"/>
    <w:uiPriority w:val="0"/>
    <w:qFormat/>
    <w:rPr>
      <w:rFonts w:ascii="楷体_GB2312" w:hAnsi="Arial" w:eastAsia="楷体_GB2312" w:cs="Times New Roman"/>
      <w:sz w:val="28"/>
      <w:szCs w:val="28"/>
    </w:rPr>
  </w:style>
  <w:style w:type="character" w:styleId="905" w:customStyle="1">
    <w:name w:val="正文文本 Char"/>
    <w:link w:val="904"/>
    <w:uiPriority w:val="0"/>
    <w:qFormat/>
    <w:rPr>
      <w:rFonts w:ascii="楷体_GB2312" w:hAnsi="Arial" w:eastAsia="楷体_GB2312" w:cs="Times New Roman"/>
      <w:sz w:val="28"/>
      <w:szCs w:val="28"/>
    </w:rPr>
  </w:style>
  <w:style w:type="paragraph" w:styleId="906" w:customStyle="1">
    <w:name w:val="列表 21"/>
    <w:basedOn w:val="688"/>
    <w:uiPriority w:val="0"/>
    <w:qFormat/>
    <w:pPr>
      <w:ind w:left="100" w:hanging="200"/>
    </w:pPr>
    <w:rPr>
      <w:rFonts w:ascii="Times New Roman" w:hAnsi="Times New Roman" w:eastAsia="宋体" w:cs="Times New Roman"/>
      <w:szCs w:val="21"/>
    </w:rPr>
  </w:style>
  <w:style w:type="paragraph" w:styleId="907"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08"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09" w:customStyle="1">
    <w:name w:val="纯文本1"/>
    <w:basedOn w:val="688"/>
    <w:link w:val="910"/>
    <w:uiPriority w:val="0"/>
    <w:qFormat/>
    <w:rPr>
      <w:rFonts w:ascii="宋体" w:hAnsi="Courier New" w:eastAsia="宋体" w:cs="Courier New"/>
      <w:szCs w:val="21"/>
    </w:rPr>
  </w:style>
  <w:style w:type="character" w:styleId="910" w:customStyle="1">
    <w:name w:val="纯文本 Char"/>
    <w:link w:val="909"/>
    <w:uiPriority w:val="0"/>
    <w:qFormat/>
    <w:rPr>
      <w:rFonts w:ascii="宋体" w:hAnsi="Courier New" w:eastAsia="宋体" w:cs="Courier New"/>
      <w:szCs w:val="21"/>
    </w:rPr>
  </w:style>
  <w:style w:type="paragraph" w:styleId="911"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12" w:customStyle="1">
    <w:name w:val="日期1"/>
    <w:basedOn w:val="688"/>
    <w:next w:val="688"/>
    <w:link w:val="913"/>
    <w:uiPriority w:val="0"/>
    <w:qFormat/>
    <w:rPr>
      <w:rFonts w:ascii="Times New Roman" w:hAnsi="Times New Roman" w:eastAsia="宋体" w:cs="Times New Roman"/>
      <w:sz w:val="24"/>
      <w:szCs w:val="24"/>
    </w:rPr>
  </w:style>
  <w:style w:type="character" w:styleId="913" w:customStyle="1">
    <w:name w:val="日期 Char"/>
    <w:link w:val="912"/>
    <w:uiPriority w:val="0"/>
    <w:qFormat/>
    <w:rPr>
      <w:rFonts w:ascii="Times New Roman" w:hAnsi="Times New Roman" w:eastAsia="宋体" w:cs="Times New Roman"/>
      <w:sz w:val="24"/>
      <w:szCs w:val="24"/>
    </w:rPr>
  </w:style>
  <w:style w:type="paragraph" w:styleId="914" w:customStyle="1">
    <w:name w:val="正文文本缩进 21"/>
    <w:basedOn w:val="688"/>
    <w:link w:val="915"/>
    <w:uiPriority w:val="0"/>
    <w:qFormat/>
    <w:pPr>
      <w:ind w:left="630" w:firstLine="645"/>
    </w:pPr>
    <w:rPr>
      <w:rFonts w:ascii="Arial" w:hAnsi="Arial" w:eastAsia="仿宋_GB2312" w:cs="Arial"/>
      <w:sz w:val="32"/>
      <w:szCs w:val="32"/>
    </w:rPr>
  </w:style>
  <w:style w:type="character" w:styleId="915" w:customStyle="1">
    <w:name w:val="正文文本缩进 2 Char"/>
    <w:link w:val="914"/>
    <w:uiPriority w:val="0"/>
    <w:qFormat/>
    <w:rPr>
      <w:rFonts w:ascii="Arial" w:hAnsi="Arial" w:eastAsia="仿宋_GB2312" w:cs="Arial"/>
      <w:sz w:val="32"/>
      <w:szCs w:val="32"/>
    </w:rPr>
  </w:style>
  <w:style w:type="paragraph" w:styleId="916" w:customStyle="1">
    <w:name w:val="批注框文本1"/>
    <w:basedOn w:val="688"/>
    <w:link w:val="917"/>
    <w:uiPriority w:val="0"/>
    <w:semiHidden/>
    <w:qFormat/>
    <w:rPr>
      <w:rFonts w:ascii="Times New Roman" w:hAnsi="Times New Roman" w:eastAsia="宋体" w:cs="Times New Roman"/>
      <w:sz w:val="18"/>
      <w:szCs w:val="18"/>
    </w:rPr>
  </w:style>
  <w:style w:type="character" w:styleId="917" w:customStyle="1">
    <w:name w:val="批注框文本 Char"/>
    <w:link w:val="916"/>
    <w:uiPriority w:val="0"/>
    <w:semiHidden/>
    <w:qFormat/>
    <w:rPr>
      <w:rFonts w:ascii="Times New Roman" w:hAnsi="Times New Roman" w:eastAsia="宋体" w:cs="Times New Roman"/>
      <w:sz w:val="18"/>
      <w:szCs w:val="18"/>
    </w:rPr>
  </w:style>
  <w:style w:type="paragraph" w:styleId="918" w:customStyle="1">
    <w:name w:val="页脚1"/>
    <w:basedOn w:val="688"/>
    <w:link w:val="91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customStyle="1">
    <w:name w:val="页脚 Char"/>
    <w:link w:val="918"/>
    <w:uiPriority w:val="0"/>
    <w:qFormat/>
    <w:rPr>
      <w:rFonts w:ascii="Times New Roman" w:hAnsi="Times New Roman" w:eastAsia="宋体" w:cs="Times New Roman"/>
      <w:sz w:val="18"/>
      <w:szCs w:val="18"/>
    </w:rPr>
  </w:style>
  <w:style w:type="paragraph" w:styleId="920" w:customStyle="1">
    <w:name w:val="页眉1"/>
    <w:basedOn w:val="688"/>
    <w:link w:val="92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customStyle="1">
    <w:name w:val="页眉 Char"/>
    <w:link w:val="920"/>
    <w:uiPriority w:val="0"/>
    <w:qFormat/>
    <w:rPr>
      <w:rFonts w:ascii="Times New Roman" w:hAnsi="Times New Roman" w:eastAsia="宋体" w:cs="Times New Roman"/>
      <w:sz w:val="18"/>
      <w:szCs w:val="18"/>
    </w:rPr>
  </w:style>
  <w:style w:type="paragraph" w:styleId="922"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3"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24" w:customStyle="1">
    <w:name w:val="列表1"/>
    <w:basedOn w:val="688"/>
    <w:uiPriority w:val="0"/>
    <w:qFormat/>
    <w:pPr>
      <w:ind w:left="200" w:hanging="200"/>
    </w:pPr>
    <w:rPr>
      <w:rFonts w:ascii="Times New Roman" w:hAnsi="Times New Roman" w:eastAsia="宋体" w:cs="Times New Roman"/>
      <w:szCs w:val="21"/>
    </w:rPr>
  </w:style>
  <w:style w:type="paragraph" w:styleId="925"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26" w:customStyle="1">
    <w:name w:val="正文文本缩进 31"/>
    <w:basedOn w:val="688"/>
    <w:link w:val="927"/>
    <w:uiPriority w:val="0"/>
    <w:qFormat/>
    <w:pPr>
      <w:ind w:left="645" w:firstLine="645"/>
    </w:pPr>
    <w:rPr>
      <w:rFonts w:ascii="Arial" w:hAnsi="Arial" w:eastAsia="仿宋_GB2312" w:cs="Arial"/>
      <w:color w:val="ffff00"/>
      <w:sz w:val="32"/>
      <w:szCs w:val="32"/>
    </w:rPr>
  </w:style>
  <w:style w:type="character" w:styleId="927" w:customStyle="1">
    <w:name w:val="正文文本缩进 3 Char"/>
    <w:link w:val="926"/>
    <w:uiPriority w:val="0"/>
    <w:qFormat/>
    <w:rPr>
      <w:rFonts w:ascii="Arial" w:hAnsi="Arial" w:eastAsia="仿宋_GB2312" w:cs="Arial"/>
      <w:color w:val="ffff00"/>
      <w:sz w:val="32"/>
      <w:szCs w:val="32"/>
    </w:rPr>
  </w:style>
  <w:style w:type="paragraph" w:styleId="928"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29"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0"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1" w:customStyle="1">
    <w:name w:val="正文文本 21"/>
    <w:basedOn w:val="688"/>
    <w:link w:val="932"/>
    <w:uiPriority w:val="0"/>
    <w:qFormat/>
    <w:pPr>
      <w:jc w:val="center"/>
      <w:widowControl/>
    </w:pPr>
    <w:rPr>
      <w:rFonts w:ascii="楷体_GB2312" w:hAnsi="Times New Roman" w:eastAsia="楷体_GB2312" w:cs="Times New Roman"/>
      <w:sz w:val="28"/>
      <w:szCs w:val="28"/>
    </w:rPr>
  </w:style>
  <w:style w:type="character" w:styleId="932" w:customStyle="1">
    <w:name w:val="正文文本 2 Char"/>
    <w:link w:val="931"/>
    <w:uiPriority w:val="0"/>
    <w:qFormat/>
    <w:rPr>
      <w:rFonts w:ascii="楷体_GB2312" w:hAnsi="Times New Roman" w:eastAsia="楷体_GB2312" w:cs="Times New Roman"/>
      <w:sz w:val="28"/>
      <w:szCs w:val="28"/>
    </w:rPr>
  </w:style>
  <w:style w:type="paragraph" w:styleId="933"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34"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35" w:customStyle="1">
    <w:name w:val="批注主题1"/>
    <w:basedOn w:val="900"/>
    <w:next w:val="900"/>
    <w:link w:val="936"/>
    <w:uiPriority w:val="0"/>
    <w:semiHidden/>
    <w:qFormat/>
    <w:rPr>
      <w:rFonts w:ascii="Times New Roman" w:hAnsi="Times New Roman" w:eastAsia="宋体" w:cs="Times New Roman"/>
      <w:b/>
      <w:bCs/>
      <w:szCs w:val="21"/>
    </w:rPr>
  </w:style>
  <w:style w:type="character" w:styleId="936" w:customStyle="1">
    <w:name w:val="批注主题 Char"/>
    <w:link w:val="935"/>
    <w:uiPriority w:val="0"/>
    <w:semiHidden/>
    <w:qFormat/>
    <w:rPr>
      <w:rFonts w:ascii="Times New Roman" w:hAnsi="Times New Roman" w:eastAsia="宋体" w:cs="Times New Roman"/>
      <w:b/>
      <w:bCs/>
      <w:szCs w:val="21"/>
    </w:rPr>
  </w:style>
  <w:style w:type="paragraph" w:styleId="937" w:customStyle="1">
    <w:name w:val="正文首行缩进1"/>
    <w:basedOn w:val="688"/>
    <w:link w:val="938"/>
    <w:uiPriority w:val="0"/>
    <w:qFormat/>
    <w:pPr>
      <w:ind w:firstLine="200"/>
      <w:spacing w:line="360" w:lineRule="auto"/>
    </w:pPr>
    <w:rPr>
      <w:rFonts w:ascii="仿宋_GB2312" w:hAnsi="Times New Roman" w:eastAsia="仿宋_GB2312" w:cs="Times New Roman"/>
      <w:sz w:val="30"/>
      <w:szCs w:val="30"/>
    </w:rPr>
  </w:style>
  <w:style w:type="character" w:styleId="938" w:customStyle="1">
    <w:name w:val="正文首行缩进 Char"/>
    <w:link w:val="937"/>
    <w:uiPriority w:val="0"/>
    <w:qFormat/>
    <w:rPr>
      <w:rFonts w:ascii="仿宋_GB2312" w:hAnsi="Times New Roman" w:eastAsia="仿宋_GB2312" w:cs="Times New Roman"/>
      <w:sz w:val="30"/>
      <w:szCs w:val="30"/>
    </w:rPr>
  </w:style>
  <w:style w:type="table" w:styleId="939" w:customStyle="1">
    <w:name w:val="网格型11"/>
    <w:basedOn w:val="883"/>
    <w:uiPriority w:val="0"/>
    <w:qFormat/>
    <w:pPr>
      <w:jc w:val="both"/>
      <w:widowControl w:val="off"/>
    </w:pPr>
    <w:rPr>
      <w:rFonts w:ascii="Times New Roman" w:hAnsi="Times New Roman" w:eastAsia="宋体" w:cs="Times New Roman"/>
      <w:sz w:val="20"/>
      <w:szCs w:val="20"/>
    </w:rPr>
    <w:tblPr/>
  </w:style>
  <w:style w:type="character" w:styleId="940" w:customStyle="1">
    <w:name w:val="要点1"/>
    <w:link w:val="688"/>
    <w:uiPriority w:val="0"/>
    <w:qFormat/>
    <w:rPr>
      <w:b/>
      <w:bCs/>
    </w:rPr>
  </w:style>
  <w:style w:type="character" w:styleId="941" w:customStyle="1">
    <w:name w:val="页码1"/>
    <w:link w:val="688"/>
    <w:uiPriority w:val="0"/>
    <w:qFormat/>
  </w:style>
  <w:style w:type="character" w:styleId="942" w:customStyle="1">
    <w:name w:val="已访问的超链接1"/>
    <w:link w:val="688"/>
    <w:uiPriority w:val="0"/>
    <w:qFormat/>
    <w:rPr>
      <w:color w:val="800080"/>
      <w:u w:val="single"/>
    </w:rPr>
  </w:style>
  <w:style w:type="character" w:styleId="943" w:customStyle="1">
    <w:name w:val="强调1"/>
    <w:link w:val="688"/>
    <w:uiPriority w:val="0"/>
    <w:qFormat/>
    <w:rPr>
      <w:i/>
    </w:rPr>
  </w:style>
  <w:style w:type="character" w:styleId="944" w:customStyle="1">
    <w:name w:val="超链接1"/>
    <w:link w:val="688"/>
    <w:uiPriority w:val="0"/>
    <w:qFormat/>
    <w:rPr>
      <w:color w:val="0000ff"/>
      <w:u w:val="single"/>
    </w:rPr>
  </w:style>
  <w:style w:type="character" w:styleId="945" w:customStyle="1">
    <w:name w:val="批注引用1"/>
    <w:link w:val="688"/>
    <w:uiPriority w:val="0"/>
    <w:semiHidden/>
    <w:qFormat/>
    <w:rPr>
      <w:sz w:val="21"/>
      <w:szCs w:val="21"/>
    </w:rPr>
  </w:style>
  <w:style w:type="paragraph" w:styleId="946" w:customStyle="1">
    <w:name w:val="索引 41"/>
    <w:basedOn w:val="688"/>
    <w:next w:val="688"/>
    <w:uiPriority w:val="0"/>
    <w:semiHidden/>
    <w:qFormat/>
    <w:pPr>
      <w:ind w:left="1260"/>
    </w:pPr>
    <w:rPr>
      <w:rFonts w:ascii="Calibri" w:hAnsi="Calibri" w:eastAsia="Calibri" w:cs="宋体"/>
      <w:sz w:val="20"/>
      <w:lang w:val="zh-CN"/>
    </w:rPr>
  </w:style>
  <w:style w:type="character" w:styleId="947" w:customStyle="1">
    <w:name w:val="font5 Char"/>
    <w:link w:val="688"/>
    <w:uiPriority w:val="0"/>
    <w:qFormat/>
    <w:rPr>
      <w:rFonts w:ascii="宋体" w:hAnsi="宋体" w:eastAsia="宋体"/>
      <w:sz w:val="28"/>
      <w:szCs w:val="28"/>
      <w:lang w:val="en-US" w:eastAsia="zh-CN" w:bidi="ar-SA"/>
    </w:rPr>
  </w:style>
  <w:style w:type="character" w:styleId="948" w:customStyle="1">
    <w:name w:val="二级目录 Char"/>
    <w:link w:val="949"/>
    <w:uiPriority w:val="0"/>
    <w:qFormat/>
    <w:rPr>
      <w:b/>
      <w:sz w:val="30"/>
      <w:szCs w:val="28"/>
    </w:rPr>
  </w:style>
  <w:style w:type="paragraph" w:styleId="949" w:customStyle="1">
    <w:name w:val="二级目录"/>
    <w:next w:val="688"/>
    <w:link w:val="9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0" w:customStyle="1">
    <w:name w:val="列出段落 Char"/>
    <w:link w:val="951"/>
    <w:uiPriority w:val="0"/>
    <w:qFormat/>
    <w:rPr>
      <w:rFonts w:ascii="Calibri" w:hAnsi="Calibri"/>
      <w:sz w:val="24"/>
      <w:szCs w:val="24"/>
      <w:lang w:eastAsia="en-US" w:bidi="en-US"/>
    </w:rPr>
  </w:style>
  <w:style w:type="paragraph" w:styleId="951" w:customStyle="1">
    <w:name w:val="列出段落1"/>
    <w:basedOn w:val="688"/>
    <w:link w:val="950"/>
    <w:uiPriority w:val="0"/>
    <w:qFormat/>
    <w:pPr>
      <w:contextualSpacing/>
      <w:ind w:left="720"/>
      <w:jc w:val="left"/>
      <w:widowControl/>
    </w:pPr>
    <w:rPr>
      <w:rFonts w:ascii="Calibri" w:hAnsi="Calibri"/>
      <w:sz w:val="24"/>
      <w:szCs w:val="24"/>
      <w:lang w:eastAsia="en-US" w:bidi="en-US"/>
    </w:rPr>
  </w:style>
  <w:style w:type="paragraph" w:styleId="952" w:customStyle="1">
    <w:name w:val="Body Text(ch)"/>
    <w:basedOn w:val="688"/>
    <w:next w:val="904"/>
    <w:uiPriority w:val="0"/>
    <w:qFormat/>
    <w:pPr>
      <w:spacing w:after="120"/>
    </w:pPr>
    <w:rPr>
      <w:rFonts w:ascii="宋体" w:hAnsi="Arial" w:eastAsia="宋体" w:cs="Times New Roman"/>
      <w:bCs/>
      <w:iCs/>
      <w:szCs w:val="24"/>
    </w:rPr>
  </w:style>
  <w:style w:type="paragraph" w:styleId="953"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5"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56" w:customStyle="1">
    <w:name w:val=" Char"/>
    <w:basedOn w:val="898"/>
    <w:uiPriority w:val="0"/>
    <w:qFormat/>
    <w:rPr>
      <w:rFonts w:ascii="Tahoma" w:hAnsi="Tahoma"/>
      <w:sz w:val="24"/>
      <w:szCs w:val="24"/>
    </w:rPr>
  </w:style>
  <w:style w:type="paragraph" w:styleId="957" w:customStyle="1">
    <w:name w:val="普通正文"/>
    <w:basedOn w:val="958"/>
    <w:uiPriority w:val="0"/>
    <w:qFormat/>
    <w:pPr>
      <w:ind w:firstLine="480"/>
      <w:jc w:val="left"/>
      <w:spacing w:before="120" w:after="120" w:line="360" w:lineRule="auto"/>
    </w:pPr>
    <w:rPr>
      <w:rFonts w:ascii="Arial" w:hAnsi="Arial" w:eastAsia="宋体" w:cs="Times New Roman"/>
      <w:sz w:val="24"/>
      <w:szCs w:val="24"/>
    </w:rPr>
  </w:style>
  <w:style w:type="paragraph" w:styleId="958"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59"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6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1"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2" w:customStyle="1">
    <w:name w:val=" Char Char Char Char"/>
    <w:basedOn w:val="898"/>
    <w:uiPriority w:val="0"/>
    <w:qFormat/>
    <w:pPr>
      <w:spacing w:line="360" w:lineRule="auto"/>
    </w:pPr>
    <w:rPr>
      <w:rFonts w:ascii="Tahoma" w:hAnsi="Tahoma"/>
      <w:sz w:val="24"/>
      <w:szCs w:val="24"/>
    </w:rPr>
  </w:style>
  <w:style w:type="paragraph" w:styleId="963"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64" w:customStyle="1">
    <w:name w:val="4"/>
    <w:basedOn w:val="688"/>
    <w:next w:val="926"/>
    <w:uiPriority w:val="0"/>
    <w:qFormat/>
    <w:pPr>
      <w:ind w:firstLine="420"/>
      <w:spacing w:line="360" w:lineRule="auto"/>
    </w:pPr>
    <w:rPr>
      <w:rFonts w:ascii="Times New Roman" w:hAnsi="Times New Roman" w:eastAsia="宋体" w:cs="Times New Roman"/>
      <w:color w:val="ff0000"/>
      <w:sz w:val="24"/>
      <w:szCs w:val="24"/>
    </w:rPr>
  </w:style>
  <w:style w:type="paragraph" w:styleId="965"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66"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67" w:customStyle="1">
    <w:name w:val="样式1"/>
    <w:basedOn w:val="688"/>
    <w:uiPriority w:val="0"/>
    <w:qFormat/>
    <w:pPr>
      <w:numPr>
        <w:ilvl w:val="0"/>
        <w:numId w:val="3"/>
      </w:numPr>
    </w:pPr>
    <w:rPr>
      <w:rFonts w:ascii="宋体" w:hAnsi="宋体" w:eastAsia="宋体" w:cs="Times New Roman"/>
      <w:szCs w:val="21"/>
    </w:rPr>
  </w:style>
  <w:style w:type="paragraph" w:styleId="968"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标题3"/>
    <w:basedOn w:val="688"/>
    <w:next w:val="688"/>
    <w:uiPriority w:val="0"/>
    <w:qFormat/>
    <w:pPr>
      <w:ind w:firstLine="624"/>
      <w:spacing w:line="590" w:lineRule="atLeast"/>
    </w:pPr>
    <w:rPr>
      <w:rFonts w:ascii="方正黑体_GBK" w:hAnsi="Times New Roman" w:eastAsia="方正黑体_GBK" w:cs="Times New Roman"/>
      <w:sz w:val="32"/>
      <w:szCs w:val="32"/>
    </w:rPr>
  </w:style>
  <w:style w:type="paragraph" w:styleId="97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3"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4"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6"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xl30"/>
    <w:basedOn w:val="68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8" w:customStyle="1">
    <w:name w:val="Char Char Char Char"/>
    <w:basedOn w:val="898"/>
    <w:uiPriority w:val="0"/>
    <w:qFormat/>
    <w:pPr>
      <w:spacing w:line="360" w:lineRule="auto"/>
    </w:pPr>
    <w:rPr>
      <w:rFonts w:ascii="Tahoma" w:hAnsi="Tahoma"/>
      <w:sz w:val="24"/>
      <w:szCs w:val="24"/>
    </w:rPr>
  </w:style>
  <w:style w:type="paragraph" w:styleId="979" w:customStyle="1">
    <w:name w:val="table_1stline"/>
    <w:basedOn w:val="688"/>
    <w:uiPriority w:val="0"/>
    <w:qFormat/>
    <w:pPr>
      <w:jc w:val="left"/>
      <w:spacing w:before="120"/>
      <w:widowControl/>
    </w:pPr>
    <w:rPr>
      <w:rFonts w:ascii="Times New Roman" w:hAnsi="Times New Roman" w:eastAsia="宋体" w:cs="Times New Roman"/>
      <w:bCs/>
      <w:sz w:val="20"/>
      <w:szCs w:val="20"/>
      <w:lang w:val="de-DE" w:eastAsia="de-DE"/>
    </w:rPr>
  </w:style>
  <w:style w:type="paragraph" w:styleId="980"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1"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4" w:customStyle="1">
    <w:name w:val="Table Normal"/>
    <w:uiPriority w:val="0"/>
    <w:qFormat/>
    <w:tblPr/>
  </w:style>
  <w:style w:type="paragraph" w:styleId="985" w:customStyle="1">
    <w:name w:val="正文文本 211"/>
    <w:basedOn w:val="688"/>
    <w:uiPriority w:val="99"/>
    <w:qFormat/>
    <w:pPr>
      <w:jc w:val="center"/>
    </w:pPr>
    <w:rPr>
      <w:b/>
      <w:bCs/>
      <w:sz w:val="20"/>
      <w:szCs w:val="20"/>
    </w:rPr>
  </w:style>
  <w:style w:type="paragraph" w:styleId="986" w:customStyle="1">
    <w:name w:val="正文文本12"/>
    <w:basedOn w:val="688"/>
    <w:uiPriority w:val="1"/>
    <w:qFormat/>
    <w:pPr>
      <w:ind w:left="120"/>
    </w:pPr>
    <w:rPr>
      <w:rFonts w:ascii="宋体" w:hAnsi="宋体" w:eastAsia="宋体" w:cs="宋体"/>
      <w:sz w:val="21"/>
      <w:szCs w:val="21"/>
      <w:lang w:val="zh-CN" w:eastAsia="zh-CN" w:bidi="zh-CN"/>
    </w:rPr>
  </w:style>
  <w:style w:type="table" w:styleId="987" w:customStyle="1">
    <w:name w:val="网格型1"/>
    <w:basedOn w:val="988"/>
    <w:uiPriority w:val="0"/>
    <w:qFormat/>
    <w:pPr>
      <w:jc w:val="both"/>
      <w:widowControl w:val="off"/>
    </w:pPr>
    <w:tblPr/>
  </w:style>
  <w:style w:type="table" w:styleId="988" w:customStyle="1">
    <w:name w:val="普通表格1"/>
    <w:uiPriority w:val="99"/>
    <w:unhideWhenUsed/>
    <w:qFormat/>
    <w:tbl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9</cp:revision>
  <dcterms:created xsi:type="dcterms:W3CDTF">2023-03-27T07:28:00Z</dcterms:created>
  <dcterms:modified xsi:type="dcterms:W3CDTF">2026-04-08T07:28:19Z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EE25429E830B47B18DAD121F07573FD0_13</vt:lpwstr>
  </property>
</Properties>
</file>